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5FF7A7D7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EB0CCE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8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</w:t>
                            </w:r>
                            <w:r w:rsidR="00F6114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EB0CCE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8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" filled="f" stroked="f">
                <v:textbox>
                  <w:txbxContent>
                    <w:p w14:paraId="78C82918" w14:textId="5FF7A7D7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EB0CCE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8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</w:t>
                      </w:r>
                      <w:r w:rsidR="00F6114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EB0CCE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8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7288788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73A84386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B3CDA">
        <w:rPr>
          <w:rFonts w:ascii="Arial" w:hAnsi="Arial" w:cs="Arial"/>
          <w:b/>
          <w:sz w:val="22"/>
          <w:szCs w:val="22"/>
          <w:u w:val="single"/>
        </w:rPr>
        <w:t>1</w:t>
      </w:r>
      <w:r w:rsidR="00F61141" w:rsidRPr="00F61141">
        <w:rPr>
          <w:rFonts w:ascii="Arial" w:hAnsi="Arial" w:cs="Arial"/>
          <w:b/>
          <w:sz w:val="22"/>
          <w:szCs w:val="22"/>
          <w:u w:val="single"/>
        </w:rPr>
        <w:t>º Exame de Qualificação - 201</w:t>
      </w:r>
      <w:r w:rsidR="00EB0CCE">
        <w:rPr>
          <w:rFonts w:ascii="Arial" w:hAnsi="Arial" w:cs="Arial"/>
          <w:b/>
          <w:sz w:val="22"/>
          <w:szCs w:val="22"/>
          <w:u w:val="single"/>
        </w:rPr>
        <w:t>8</w:t>
      </w:r>
    </w:p>
    <w:p w14:paraId="23F7865F" w14:textId="1D19E2A2" w:rsidR="00EB0CCE" w:rsidRPr="00781E4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69EA9F7C" w14:textId="77777777" w:rsidR="00EB0CCE" w:rsidRPr="004245B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68F541FE" w14:textId="77777777" w:rsidR="00EB0CCE" w:rsidRPr="005207CA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23F1A755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5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 w:rsidRPr="00A27F47">
        <w:rPr>
          <w:rFonts w:ascii="Arial" w:hAnsi="Arial" w:cs="Arial"/>
          <w:sz w:val="20"/>
          <w:szCs w:val="20"/>
        </w:rPr>
        <w:t>Segundo historiadores da matemática, a análise de padrões como os ilustrados a seguir</w:t>
      </w:r>
      <w:r>
        <w:rPr>
          <w:rFonts w:ascii="Arial" w:hAnsi="Arial" w:cs="Arial"/>
          <w:sz w:val="20"/>
          <w:szCs w:val="20"/>
        </w:rPr>
        <w:t xml:space="preserve"> </w:t>
      </w:r>
      <w:r w:rsidRPr="00A27F47">
        <w:rPr>
          <w:rFonts w:ascii="Arial" w:hAnsi="Arial" w:cs="Arial"/>
          <w:sz w:val="20"/>
          <w:szCs w:val="20"/>
        </w:rPr>
        <w:t>possibilitou a descoberta das triplas pitagóricas.</w:t>
      </w:r>
    </w:p>
    <w:p w14:paraId="08AD3D9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920E8A0" w14:textId="4FF42CB6" w:rsidR="00EB0CCE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85955B9" wp14:editId="656425B2">
            <wp:extent cx="5638800" cy="1409700"/>
            <wp:effectExtent l="19050" t="19050" r="19050" b="19050"/>
            <wp:docPr id="1293156604" name="Imagem 21" descr="Calendário, Gráfico de dispers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156604" name="Imagem 21" descr="Calendário, Gráfico de dispers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4097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E893E5A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22A0930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1AF787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9E49B90" w14:textId="08E49FC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27F47">
        <w:rPr>
          <w:rFonts w:ascii="Arial" w:hAnsi="Arial" w:cs="Arial"/>
          <w:sz w:val="20"/>
          <w:szCs w:val="20"/>
        </w:rPr>
        <w:t>Observe que os números inteiros 3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>, 4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 xml:space="preserve"> e 5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>, representados respectivamente pelas 2ª, 3ª e 4ª</w:t>
      </w:r>
      <w:r>
        <w:rPr>
          <w:rFonts w:ascii="Arial" w:hAnsi="Arial" w:cs="Arial"/>
          <w:sz w:val="20"/>
          <w:szCs w:val="20"/>
        </w:rPr>
        <w:t xml:space="preserve"> </w:t>
      </w:r>
      <w:r w:rsidRPr="00A27F47">
        <w:rPr>
          <w:rFonts w:ascii="Arial" w:hAnsi="Arial" w:cs="Arial"/>
          <w:sz w:val="20"/>
          <w:szCs w:val="20"/>
        </w:rPr>
        <w:t>figuras, satisfazem ao Teorema de Pitágoras. Dessa forma (3, 4, 5) é uma tripla pitagórica.</w:t>
      </w:r>
      <w:r>
        <w:rPr>
          <w:rFonts w:ascii="Arial" w:hAnsi="Arial" w:cs="Arial"/>
          <w:sz w:val="20"/>
          <w:szCs w:val="20"/>
        </w:rPr>
        <w:t xml:space="preserve"> </w:t>
      </w:r>
      <w:r w:rsidRPr="00A27F47">
        <w:rPr>
          <w:rFonts w:ascii="Arial" w:hAnsi="Arial" w:cs="Arial"/>
          <w:sz w:val="20"/>
          <w:szCs w:val="20"/>
        </w:rPr>
        <w:t>Os quadrados representados pelas 4ª, 11ª e nª figuras determinam</w:t>
      </w:r>
      <w:r>
        <w:rPr>
          <w:rFonts w:ascii="Arial" w:hAnsi="Arial" w:cs="Arial"/>
          <w:sz w:val="20"/>
          <w:szCs w:val="20"/>
        </w:rPr>
        <w:t xml:space="preserve"> outra tripla pitagórica, sendo </w:t>
      </w:r>
      <w:r w:rsidRPr="00A27F47">
        <w:rPr>
          <w:rFonts w:ascii="Arial" w:hAnsi="Arial" w:cs="Arial"/>
          <w:sz w:val="20"/>
          <w:szCs w:val="20"/>
        </w:rPr>
        <w:t xml:space="preserve">o valor de </w:t>
      </w:r>
      <w:r w:rsidRPr="003A5946">
        <w:rPr>
          <w:rFonts w:ascii="Arial" w:hAnsi="Arial" w:cs="Arial"/>
          <w:b/>
          <w:sz w:val="20"/>
          <w:szCs w:val="20"/>
        </w:rPr>
        <w:t xml:space="preserve">n </w:t>
      </w:r>
      <w:r w:rsidRPr="00A27F47">
        <w:rPr>
          <w:rFonts w:ascii="Arial" w:hAnsi="Arial" w:cs="Arial"/>
          <w:sz w:val="20"/>
          <w:szCs w:val="20"/>
        </w:rPr>
        <w:t>igual a:</w:t>
      </w:r>
    </w:p>
    <w:p w14:paraId="1230A7A6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F9C57F4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10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62B0B">
        <w:rPr>
          <w:rFonts w:ascii="Arial" w:hAnsi="Arial" w:cs="Arial"/>
          <w:sz w:val="20"/>
          <w:szCs w:val="20"/>
        </w:rPr>
        <w:t>(</w:t>
      </w:r>
      <w:proofErr w:type="gramEnd"/>
      <w:r w:rsidRPr="00F62B0B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12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14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27F47">
        <w:rPr>
          <w:rFonts w:ascii="Arial" w:hAnsi="Arial" w:cs="Arial"/>
          <w:sz w:val="20"/>
          <w:szCs w:val="20"/>
        </w:rPr>
        <w:t>(</w:t>
      </w:r>
      <w:proofErr w:type="gramEnd"/>
      <w:r w:rsidRPr="00A27F47">
        <w:rPr>
          <w:rFonts w:ascii="Arial" w:hAnsi="Arial" w:cs="Arial"/>
          <w:sz w:val="20"/>
          <w:szCs w:val="20"/>
        </w:rPr>
        <w:t>D) 16</w:t>
      </w:r>
    </w:p>
    <w:p w14:paraId="5BE724E0" w14:textId="77777777" w:rsidR="00EB0CCE" w:rsidRPr="004C41E2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4D7E7B51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84DB962" w14:textId="77777777" w:rsidR="00EB0CCE" w:rsidRPr="0003722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5829DFC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97BD0C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6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9B32B5">
        <w:rPr>
          <w:rFonts w:ascii="Arial" w:hAnsi="Arial" w:cs="Arial"/>
          <w:sz w:val="20"/>
          <w:szCs w:val="20"/>
        </w:rPr>
        <w:t>Considerando o conceito de simetria, observe o desenho abaixo:</w:t>
      </w:r>
    </w:p>
    <w:p w14:paraId="7E06490C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22D45DF" w14:textId="7586DE09" w:rsidR="00EB0CCE" w:rsidRPr="009B32B5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63A65E3" wp14:editId="4E0706DD">
            <wp:extent cx="1143000" cy="876300"/>
            <wp:effectExtent l="0" t="0" r="0" b="0"/>
            <wp:docPr id="1844719694" name="Imagem 20" descr="Gráfico, Gráfico de caixa estrei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719694" name="Imagem 20" descr="Gráfico, Gráfico de caixa estreit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E673C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rial" w:hAnsi="Arial" w:cs="Arial"/>
          <w:sz w:val="20"/>
          <w:szCs w:val="20"/>
        </w:rPr>
        <w:t>Os pontos A e B são simétricos em relação à reta s, quando s é a mediatriz do segmento AB.</w:t>
      </w:r>
    </w:p>
    <w:p w14:paraId="482B3FDD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E3DDDAC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rial" w:hAnsi="Arial" w:cs="Arial"/>
          <w:sz w:val="20"/>
          <w:szCs w:val="20"/>
        </w:rPr>
        <w:t>Observe este novo desenho:</w:t>
      </w:r>
    </w:p>
    <w:p w14:paraId="666DE7E6" w14:textId="46D036CE" w:rsidR="00EB0CCE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9637A78" wp14:editId="7E9F2705">
            <wp:extent cx="647700" cy="676275"/>
            <wp:effectExtent l="0" t="0" r="0" b="9525"/>
            <wp:docPr id="1170336740" name="Imagem 19" descr="Ícon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36740" name="Imagem 19" descr="Ícon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64949" w14:textId="77777777" w:rsidR="00EB0CCE" w:rsidRDefault="00EB0CCE" w:rsidP="00EB0CCE">
      <w:pPr>
        <w:autoSpaceDE w:val="0"/>
        <w:autoSpaceDN w:val="0"/>
        <w:adjustRightInd w:val="0"/>
        <w:rPr>
          <w:rFonts w:ascii="Avenir-Book" w:hAnsi="Avenir-Book" w:cs="Avenir-Book"/>
          <w:sz w:val="20"/>
          <w:szCs w:val="20"/>
        </w:rPr>
      </w:pPr>
    </w:p>
    <w:p w14:paraId="6C162A1E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venir-Book" w:hAnsi="Avenir-Book" w:cs="Avenir-Book"/>
          <w:sz w:val="20"/>
          <w:szCs w:val="20"/>
        </w:rPr>
        <w:t>Em relação à reta s, a imagem simétrica da letra R apresentada no desenho é:</w:t>
      </w:r>
    </w:p>
    <w:p w14:paraId="295AAE5F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6E03487" w14:textId="0648B2DF" w:rsidR="00EB0CCE" w:rsidRPr="009B32B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85E58F5" wp14:editId="77A4BF38">
            <wp:extent cx="5429250" cy="552450"/>
            <wp:effectExtent l="0" t="0" r="0" b="0"/>
            <wp:docPr id="6010665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BD37E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21FD684F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119768E2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89F52D5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1339A014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24BEEBEB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4B6D693E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2D6154B5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0F058DCB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7109CE9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3F6B4551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</w:p>
    <w:p w14:paraId="114F0D72" w14:textId="57804B41" w:rsidR="00EB0CCE" w:rsidRPr="00601472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687A983" wp14:editId="3AA8E9BF">
            <wp:extent cx="6210300" cy="2314575"/>
            <wp:effectExtent l="0" t="0" r="0" b="9525"/>
            <wp:docPr id="155261124" name="Imagem 17" descr="Tela de celular com texto preto sobre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61124" name="Imagem 17" descr="Tela de celular com texto preto sobre fundo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379CD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6246779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946">
        <w:rPr>
          <w:rFonts w:ascii="Arial" w:hAnsi="Arial" w:cs="Arial"/>
          <w:sz w:val="20"/>
          <w:szCs w:val="20"/>
        </w:rPr>
        <w:t>Onça e libra são unidades de massa do sistema inglês. Sabe-se q</w:t>
      </w:r>
      <w:r>
        <w:rPr>
          <w:rFonts w:ascii="Arial" w:hAnsi="Arial" w:cs="Arial"/>
          <w:sz w:val="20"/>
          <w:szCs w:val="20"/>
        </w:rPr>
        <w:t xml:space="preserve">ue 16 onças equivalem a 1 libra </w:t>
      </w:r>
      <w:r w:rsidRPr="003A5946">
        <w:rPr>
          <w:rFonts w:ascii="Arial" w:hAnsi="Arial" w:cs="Arial"/>
          <w:sz w:val="20"/>
          <w:szCs w:val="20"/>
        </w:rPr>
        <w:t xml:space="preserve">e que 0,4 onças é igual a </w:t>
      </w:r>
      <w:r w:rsidRPr="003A5946">
        <w:rPr>
          <w:rFonts w:ascii="Arial" w:hAnsi="Arial" w:cs="Arial"/>
          <w:b/>
          <w:sz w:val="20"/>
          <w:szCs w:val="20"/>
        </w:rPr>
        <w:t>x</w:t>
      </w:r>
      <w:r w:rsidRPr="003A5946">
        <w:rPr>
          <w:rFonts w:ascii="Arial" w:hAnsi="Arial" w:cs="Arial"/>
          <w:sz w:val="20"/>
          <w:szCs w:val="20"/>
        </w:rPr>
        <w:t xml:space="preserve"> libras.</w:t>
      </w:r>
    </w:p>
    <w:p w14:paraId="3DA230B3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2330F28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946">
        <w:rPr>
          <w:rFonts w:ascii="Arial" w:hAnsi="Arial" w:cs="Arial"/>
          <w:sz w:val="20"/>
          <w:szCs w:val="20"/>
        </w:rPr>
        <w:t xml:space="preserve">O valor de </w:t>
      </w:r>
      <w:r w:rsidRPr="003A5946">
        <w:rPr>
          <w:rFonts w:ascii="Arial" w:hAnsi="Arial" w:cs="Arial"/>
          <w:b/>
          <w:sz w:val="20"/>
          <w:szCs w:val="20"/>
        </w:rPr>
        <w:t>x</w:t>
      </w:r>
      <w:r w:rsidRPr="003A5946">
        <w:rPr>
          <w:rFonts w:ascii="Arial" w:hAnsi="Arial" w:cs="Arial"/>
          <w:sz w:val="20"/>
          <w:szCs w:val="20"/>
        </w:rPr>
        <w:t xml:space="preserve"> é igual a:</w:t>
      </w:r>
    </w:p>
    <w:p w14:paraId="4BD939FD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7926B2F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0,0125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0,005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62B0B">
        <w:rPr>
          <w:rFonts w:ascii="Arial" w:hAnsi="Arial" w:cs="Arial"/>
          <w:sz w:val="20"/>
          <w:szCs w:val="20"/>
        </w:rPr>
        <w:t>(</w:t>
      </w:r>
      <w:proofErr w:type="gramEnd"/>
      <w:r w:rsidRPr="00F62B0B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0,025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3A5946">
        <w:rPr>
          <w:rFonts w:ascii="Arial" w:hAnsi="Arial" w:cs="Arial"/>
          <w:sz w:val="20"/>
          <w:szCs w:val="20"/>
        </w:rPr>
        <w:t>(</w:t>
      </w:r>
      <w:proofErr w:type="gramEnd"/>
      <w:r w:rsidRPr="003A5946">
        <w:rPr>
          <w:rFonts w:ascii="Arial" w:hAnsi="Arial" w:cs="Arial"/>
          <w:sz w:val="20"/>
          <w:szCs w:val="20"/>
        </w:rPr>
        <w:t>D) 0,05</w:t>
      </w:r>
    </w:p>
    <w:p w14:paraId="7726E6D4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A723D6A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BAAE2A5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57466E">
        <w:rPr>
          <w:rFonts w:ascii="Arial" w:hAnsi="Arial" w:cs="Arial"/>
          <w:sz w:val="20"/>
          <w:szCs w:val="20"/>
        </w:rPr>
        <w:t>Considere na imagem abaixo:</w:t>
      </w:r>
    </w:p>
    <w:p w14:paraId="65C5DDA8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2D570D6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• os quadrados ACFG e ABHI, cujas áreas medem, respectivamente, S</w:t>
      </w:r>
      <w:r w:rsidRPr="0057466E">
        <w:rPr>
          <w:rFonts w:ascii="Arial" w:hAnsi="Arial" w:cs="Arial"/>
          <w:sz w:val="20"/>
          <w:szCs w:val="20"/>
          <w:vertAlign w:val="subscript"/>
        </w:rPr>
        <w:t>1</w:t>
      </w:r>
      <w:r w:rsidRPr="0057466E">
        <w:rPr>
          <w:rFonts w:ascii="Arial" w:hAnsi="Arial" w:cs="Arial"/>
          <w:sz w:val="20"/>
          <w:szCs w:val="20"/>
        </w:rPr>
        <w:t xml:space="preserve"> e S</w:t>
      </w:r>
      <w:r w:rsidRPr="0057466E">
        <w:rPr>
          <w:rFonts w:ascii="Arial" w:hAnsi="Arial" w:cs="Arial"/>
          <w:sz w:val="20"/>
          <w:szCs w:val="20"/>
          <w:vertAlign w:val="subscript"/>
        </w:rPr>
        <w:t>2</w:t>
      </w:r>
      <w:r w:rsidRPr="0057466E">
        <w:rPr>
          <w:rFonts w:ascii="Arial" w:hAnsi="Arial" w:cs="Arial"/>
          <w:sz w:val="20"/>
          <w:szCs w:val="20"/>
        </w:rPr>
        <w:t>;</w:t>
      </w:r>
    </w:p>
    <w:p w14:paraId="0156B6C9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6AEE601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• o triângulo retângulo ABC;</w:t>
      </w:r>
    </w:p>
    <w:p w14:paraId="2EBA9BEB" w14:textId="77777777" w:rsidR="00EB0CCE" w:rsidRPr="0057466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47FC466F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venir-Book" w:hAnsi="Avenir-Book" w:cs="Avenir-Book"/>
        </w:rPr>
      </w:pPr>
      <w:r w:rsidRPr="0057466E">
        <w:rPr>
          <w:rFonts w:ascii="Arial" w:hAnsi="Arial" w:cs="Arial"/>
          <w:sz w:val="20"/>
          <w:szCs w:val="20"/>
        </w:rPr>
        <w:t>• o trapézio retângulo BCDE, construído sobre a hipotenusa BC, que contém o ponto X</w:t>
      </w:r>
      <w:r>
        <w:rPr>
          <w:rFonts w:ascii="Avenir-Book" w:hAnsi="Avenir-Book" w:cs="Avenir-Book"/>
        </w:rPr>
        <w:t>.</w:t>
      </w:r>
    </w:p>
    <w:p w14:paraId="3426F5C7" w14:textId="77777777" w:rsidR="00EB0CCE" w:rsidRPr="0057466E" w:rsidRDefault="00EB0CCE" w:rsidP="00EB0CCE">
      <w:pPr>
        <w:autoSpaceDE w:val="0"/>
        <w:autoSpaceDN w:val="0"/>
        <w:adjustRightInd w:val="0"/>
        <w:spacing w:line="276" w:lineRule="auto"/>
        <w:rPr>
          <w:rFonts w:ascii="Avenir-Book" w:hAnsi="Avenir-Book" w:cs="Avenir-Book"/>
          <w:sz w:val="6"/>
          <w:szCs w:val="6"/>
        </w:rPr>
      </w:pPr>
    </w:p>
    <w:p w14:paraId="55AFAAE2" w14:textId="41D8B98E" w:rsidR="00EB0CCE" w:rsidRPr="00F02C99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6"/>
          <w:szCs w:val="6"/>
        </w:rPr>
        <w:drawing>
          <wp:inline distT="0" distB="0" distL="0" distR="0" wp14:anchorId="2D7EDFD5" wp14:editId="7D1C12D5">
            <wp:extent cx="1933575" cy="1752600"/>
            <wp:effectExtent l="0" t="0" r="9525" b="0"/>
            <wp:docPr id="70977121" name="Imagem 16" descr="Tela de jogo de vídeo gam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7121" name="Imagem 16" descr="Tela de jogo de vídeo gam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6"/>
          <w:szCs w:val="6"/>
        </w:rPr>
        <w:t xml:space="preserve">                    </w:t>
      </w:r>
    </w:p>
    <w:p w14:paraId="4F3B86E7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9B32DDA" w14:textId="77777777" w:rsidR="00EB0CCE" w:rsidRPr="00F90060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9F2C72F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Sabendo que CD = CX e BE = BX, a área do trapézio BCDE é igual a:</w:t>
      </w:r>
    </w:p>
    <w:p w14:paraId="61D01862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7445E4B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2B0B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57466E">
        <w:rPr>
          <w:rFonts w:ascii="Arial" w:hAnsi="Arial" w:cs="Arial"/>
          <w:position w:val="-24"/>
          <w:sz w:val="20"/>
          <w:szCs w:val="20"/>
        </w:rPr>
        <w:object w:dxaOrig="820" w:dyaOrig="639" w14:anchorId="775DAEAA">
          <v:shape id="_x0000_i1026" type="#_x0000_t75" style="width:41.4pt;height:32.4pt" o:ole="">
            <v:imagedata r:id="rId16" o:title=""/>
          </v:shape>
          <o:OLEObject Type="Embed" ProgID="Equation.3" ShapeID="_x0000_i1026" DrawAspect="Content" ObjectID="_1807288765" r:id="rId17"/>
        </w:object>
      </w:r>
      <w:r>
        <w:rPr>
          <w:rFonts w:ascii="Arial" w:hAnsi="Arial" w:cs="Arial"/>
          <w:sz w:val="20"/>
          <w:szCs w:val="20"/>
        </w:rPr>
        <w:t xml:space="preserve">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57466E">
        <w:rPr>
          <w:rFonts w:ascii="Arial" w:hAnsi="Arial" w:cs="Arial"/>
          <w:position w:val="-24"/>
          <w:sz w:val="20"/>
          <w:szCs w:val="20"/>
        </w:rPr>
        <w:object w:dxaOrig="820" w:dyaOrig="639" w14:anchorId="6002AA1D">
          <v:shape id="_x0000_i1027" type="#_x0000_t75" style="width:41.4pt;height:32.4pt" o:ole="">
            <v:imagedata r:id="rId18" o:title=""/>
          </v:shape>
          <o:OLEObject Type="Embed" ProgID="Equation.3" ShapeID="_x0000_i1027" DrawAspect="Content" ObjectID="_1807288766" r:id="rId19"/>
        </w:object>
      </w:r>
      <w:r>
        <w:rPr>
          <w:rFonts w:ascii="Arial" w:hAnsi="Arial" w:cs="Arial"/>
          <w:sz w:val="20"/>
          <w:szCs w:val="20"/>
        </w:rPr>
        <w:t xml:space="preserve">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</w:t>
      </w:r>
      <w:r w:rsidRPr="0057466E">
        <w:rPr>
          <w:rFonts w:ascii="Arial" w:hAnsi="Arial" w:cs="Arial"/>
          <w:position w:val="-12"/>
          <w:sz w:val="20"/>
          <w:szCs w:val="20"/>
        </w:rPr>
        <w:object w:dxaOrig="760" w:dyaOrig="400" w14:anchorId="61450C33">
          <v:shape id="_x0000_i1028" type="#_x0000_t75" style="width:38.4pt;height:20.4pt" o:ole="">
            <v:imagedata r:id="rId20" o:title=""/>
          </v:shape>
          <o:OLEObject Type="Embed" ProgID="Equation.3" ShapeID="_x0000_i1028" DrawAspect="Content" ObjectID="_1807288767" r:id="rId21"/>
        </w:object>
      </w:r>
      <w:r>
        <w:rPr>
          <w:rFonts w:ascii="Arial" w:hAnsi="Arial" w:cs="Arial"/>
          <w:sz w:val="20"/>
          <w:szCs w:val="20"/>
        </w:rPr>
        <w:t xml:space="preserve">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57466E">
        <w:rPr>
          <w:rFonts w:ascii="Arial" w:hAnsi="Arial" w:cs="Arial"/>
          <w:position w:val="-12"/>
          <w:sz w:val="20"/>
          <w:szCs w:val="20"/>
        </w:rPr>
        <w:object w:dxaOrig="1480" w:dyaOrig="460" w14:anchorId="30F1EF6C">
          <v:shape id="_x0000_i1029" type="#_x0000_t75" style="width:74.4pt;height:23.4pt" o:ole="">
            <v:imagedata r:id="rId22" o:title=""/>
          </v:shape>
          <o:OLEObject Type="Embed" ProgID="Equation.3" ShapeID="_x0000_i1029" DrawAspect="Content" ObjectID="_1807288768" r:id="rId23"/>
        </w:object>
      </w:r>
    </w:p>
    <w:p w14:paraId="64E20BEE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4EF09B8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163371">
        <w:rPr>
          <w:rFonts w:ascii="Arial" w:hAnsi="Arial" w:cs="Arial"/>
          <w:sz w:val="20"/>
          <w:szCs w:val="20"/>
        </w:rPr>
        <w:t>Os veículos para transporte de passageiros em determinado município têm vida útil que varia entre 4 e 6 anos, dependendo do tipo de veículo. Nos gráficos está representada a desvalorização de quatro desses veículos ao longo dos anos, a partir de sua compra na fábrica.</w:t>
      </w:r>
    </w:p>
    <w:p w14:paraId="7F8A68DE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E61803" w14:textId="6B633A2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  <w:r>
        <w:rPr>
          <w:rFonts w:ascii="Arial" w:hAnsi="Arial" w:cs="Arial"/>
          <w:b/>
          <w:noProof/>
          <w:color w:val="FF0000"/>
          <w:sz w:val="6"/>
          <w:szCs w:val="6"/>
        </w:rPr>
        <w:lastRenderedPageBreak/>
        <w:drawing>
          <wp:inline distT="0" distB="0" distL="0" distR="0" wp14:anchorId="4C7AD57B" wp14:editId="390B7C67">
            <wp:extent cx="5715000" cy="1914525"/>
            <wp:effectExtent l="0" t="0" r="0" b="9525"/>
            <wp:docPr id="1963091345" name="Imagem 15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091345" name="Imagem 15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42599" w14:textId="052777D0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1F5CA1F5" wp14:editId="08B03B30">
            <wp:extent cx="5753100" cy="1943100"/>
            <wp:effectExtent l="0" t="0" r="0" b="0"/>
            <wp:docPr id="2058851883" name="Imagem 14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851883" name="Imagem 14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337D1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6D159F1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63371">
        <w:rPr>
          <w:rFonts w:ascii="Arial" w:hAnsi="Arial" w:cs="Arial"/>
          <w:sz w:val="20"/>
          <w:szCs w:val="20"/>
        </w:rPr>
        <w:t>Com base nos gráficos, o veículo que mais desvalorizou por ano foi:</w:t>
      </w:r>
    </w:p>
    <w:p w14:paraId="187446B3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FC8F3D4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63371">
        <w:rPr>
          <w:rFonts w:ascii="Arial" w:hAnsi="Arial" w:cs="Arial"/>
          <w:sz w:val="20"/>
          <w:szCs w:val="20"/>
        </w:rPr>
        <w:t xml:space="preserve">(A) I            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</w:t>
      </w:r>
      <w:r w:rsidRPr="00F62B0B">
        <w:rPr>
          <w:rFonts w:ascii="Arial" w:hAnsi="Arial" w:cs="Arial"/>
          <w:sz w:val="20"/>
          <w:szCs w:val="20"/>
        </w:rPr>
        <w:t>(</w:t>
      </w:r>
      <w:proofErr w:type="gramEnd"/>
      <w:r w:rsidRPr="00F62B0B">
        <w:rPr>
          <w:rFonts w:ascii="Arial" w:hAnsi="Arial" w:cs="Arial"/>
          <w:sz w:val="20"/>
          <w:szCs w:val="20"/>
        </w:rPr>
        <w:t>B)</w:t>
      </w:r>
      <w:r w:rsidRPr="00163371">
        <w:rPr>
          <w:rFonts w:ascii="Arial" w:hAnsi="Arial" w:cs="Arial"/>
          <w:sz w:val="20"/>
          <w:szCs w:val="20"/>
        </w:rPr>
        <w:t xml:space="preserve"> II      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63371">
        <w:rPr>
          <w:rFonts w:ascii="Arial" w:hAnsi="Arial" w:cs="Arial"/>
          <w:sz w:val="20"/>
          <w:szCs w:val="20"/>
        </w:rPr>
        <w:t xml:space="preserve">C) III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63371">
        <w:rPr>
          <w:rFonts w:ascii="Arial" w:hAnsi="Arial" w:cs="Arial"/>
          <w:sz w:val="20"/>
          <w:szCs w:val="20"/>
        </w:rPr>
        <w:t>D) IV</w:t>
      </w:r>
    </w:p>
    <w:p w14:paraId="1B3EEBB4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7E50A2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8C2F84C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ABC40B2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ED2F6AE" w14:textId="3BFACF68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B16DC4">
        <w:rPr>
          <w:rFonts w:ascii="Arial" w:hAnsi="Arial" w:cs="Arial"/>
          <w:sz w:val="20"/>
          <w:szCs w:val="20"/>
        </w:rPr>
        <w:t>As farmácias W e Y adquirem determinado produto com igual preço de custo. A farmácia W</w:t>
      </w:r>
      <w:r>
        <w:rPr>
          <w:rFonts w:ascii="Arial" w:hAnsi="Arial" w:cs="Arial"/>
          <w:sz w:val="20"/>
          <w:szCs w:val="20"/>
        </w:rPr>
        <w:t xml:space="preserve"> </w:t>
      </w:r>
      <w:r w:rsidRPr="00B16DC4">
        <w:rPr>
          <w:rFonts w:ascii="Arial" w:hAnsi="Arial" w:cs="Arial"/>
          <w:sz w:val="20"/>
          <w:szCs w:val="20"/>
        </w:rPr>
        <w:t xml:space="preserve">vende esse produto com 50% de lucro sobre o preço de custo. </w:t>
      </w:r>
      <w:r>
        <w:rPr>
          <w:rFonts w:ascii="Arial" w:hAnsi="Arial" w:cs="Arial"/>
          <w:sz w:val="20"/>
          <w:szCs w:val="20"/>
        </w:rPr>
        <w:t xml:space="preserve">Na farmácia Y, o preço de venda </w:t>
      </w:r>
      <w:r w:rsidRPr="00B16DC4">
        <w:rPr>
          <w:rFonts w:ascii="Arial" w:hAnsi="Arial" w:cs="Arial"/>
          <w:sz w:val="20"/>
          <w:szCs w:val="20"/>
        </w:rPr>
        <w:t>do produto é 80% mais caro do que na farmácia W.</w:t>
      </w:r>
      <w:r>
        <w:rPr>
          <w:rFonts w:ascii="Arial" w:hAnsi="Arial" w:cs="Arial"/>
          <w:sz w:val="20"/>
          <w:szCs w:val="20"/>
        </w:rPr>
        <w:t xml:space="preserve"> </w:t>
      </w:r>
      <w:r w:rsidRPr="00B16DC4">
        <w:rPr>
          <w:rFonts w:ascii="Arial" w:hAnsi="Arial" w:cs="Arial"/>
          <w:sz w:val="20"/>
          <w:szCs w:val="20"/>
        </w:rPr>
        <w:t>O lucro da farmácia Y em relação ao preço de custo é de:</w:t>
      </w:r>
    </w:p>
    <w:p w14:paraId="5E4E4D5F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CFB1F62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2B0B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170%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150%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130%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B16DC4">
        <w:rPr>
          <w:rFonts w:ascii="Arial" w:hAnsi="Arial" w:cs="Arial"/>
          <w:sz w:val="20"/>
          <w:szCs w:val="20"/>
        </w:rPr>
        <w:t>(</w:t>
      </w:r>
      <w:proofErr w:type="gramEnd"/>
      <w:r w:rsidRPr="00B16DC4">
        <w:rPr>
          <w:rFonts w:ascii="Arial" w:hAnsi="Arial" w:cs="Arial"/>
          <w:sz w:val="20"/>
          <w:szCs w:val="20"/>
        </w:rPr>
        <w:t>D) 110%</w:t>
      </w:r>
    </w:p>
    <w:p w14:paraId="48EFE5B1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64B912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C0BE3C1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F2D162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FB7314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71EB4916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35. </w:t>
      </w:r>
      <w:r w:rsidRPr="00CC2595">
        <w:rPr>
          <w:rFonts w:ascii="Arial" w:hAnsi="Arial" w:cs="Arial"/>
          <w:sz w:val="20"/>
          <w:szCs w:val="20"/>
        </w:rPr>
        <w:t xml:space="preserve">Admitindo um retângulo cujos lados medem </w:t>
      </w:r>
      <w:r w:rsidRPr="00CC2595">
        <w:rPr>
          <w:rFonts w:ascii="Arial" w:hAnsi="Arial" w:cs="Arial"/>
          <w:b/>
          <w:sz w:val="20"/>
          <w:szCs w:val="20"/>
        </w:rPr>
        <w:t>a</w:t>
      </w:r>
      <w:r w:rsidRPr="00CC2595">
        <w:rPr>
          <w:rFonts w:ascii="Arial" w:hAnsi="Arial" w:cs="Arial"/>
          <w:sz w:val="20"/>
          <w:szCs w:val="20"/>
        </w:rPr>
        <w:t xml:space="preserve"> e </w:t>
      </w:r>
      <w:r w:rsidRPr="00CC2595">
        <w:rPr>
          <w:rFonts w:ascii="Arial" w:hAnsi="Arial" w:cs="Arial"/>
          <w:b/>
          <w:sz w:val="20"/>
          <w:szCs w:val="20"/>
        </w:rPr>
        <w:t>b</w:t>
      </w:r>
      <w:r w:rsidRPr="00CC2595">
        <w:rPr>
          <w:rFonts w:ascii="Arial" w:hAnsi="Arial" w:cs="Arial"/>
          <w:sz w:val="20"/>
          <w:szCs w:val="20"/>
        </w:rPr>
        <w:t>, sendo a &lt; b, é possível formar uma sequência ilimitada de retângulos da seguinte forma: a partir do primeiro, cada novo retângulo é construído acrescentando-se um quadrado cujo lado é igual ao maior lado do retângulo anterior, conforme</w:t>
      </w:r>
      <w:r>
        <w:rPr>
          <w:rFonts w:ascii="Arial" w:hAnsi="Arial" w:cs="Arial"/>
          <w:sz w:val="20"/>
          <w:szCs w:val="20"/>
        </w:rPr>
        <w:t xml:space="preserve"> </w:t>
      </w:r>
      <w:r w:rsidRPr="00CC2595">
        <w:rPr>
          <w:rFonts w:ascii="Arial" w:hAnsi="Arial" w:cs="Arial"/>
          <w:sz w:val="20"/>
          <w:szCs w:val="20"/>
        </w:rPr>
        <w:t>ilustrado a seguir.</w:t>
      </w:r>
    </w:p>
    <w:p w14:paraId="6A5FC355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76D574E8" w14:textId="5086574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FBDF86A" wp14:editId="6BDB43A7">
            <wp:extent cx="6210300" cy="2114550"/>
            <wp:effectExtent l="0" t="0" r="0" b="0"/>
            <wp:docPr id="70222882" name="Imagem 13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22882" name="Imagem 13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2F119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4184000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CC2595">
        <w:rPr>
          <w:rFonts w:ascii="Arial" w:hAnsi="Arial" w:cs="Arial"/>
          <w:sz w:val="20"/>
          <w:szCs w:val="20"/>
        </w:rPr>
        <w:t>A figura IV destaca a linha poligonal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2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3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4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5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6</w:t>
      </w:r>
      <w:r w:rsidRPr="00CC2595">
        <w:rPr>
          <w:rFonts w:ascii="Arial" w:hAnsi="Arial" w:cs="Arial"/>
          <w:sz w:val="20"/>
          <w:szCs w:val="20"/>
        </w:rPr>
        <w:t>, formada pelos lados dos retângulos, que são</w:t>
      </w:r>
      <w:r>
        <w:rPr>
          <w:rFonts w:ascii="Arial" w:hAnsi="Arial" w:cs="Arial"/>
          <w:sz w:val="20"/>
          <w:szCs w:val="20"/>
        </w:rPr>
        <w:t xml:space="preserve"> </w:t>
      </w:r>
      <w:r w:rsidRPr="00CC2595">
        <w:rPr>
          <w:rFonts w:ascii="Arial" w:hAnsi="Arial" w:cs="Arial"/>
          <w:sz w:val="20"/>
          <w:szCs w:val="20"/>
        </w:rPr>
        <w:t>os elementos da sequência (a, b, a + b, a + 2b, 2a + 3b).</w:t>
      </w:r>
    </w:p>
    <w:p w14:paraId="315BF37A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2F9860FE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proofErr w:type="gramStart"/>
      <w:r w:rsidRPr="00CC2595">
        <w:rPr>
          <w:rFonts w:ascii="Arial" w:hAnsi="Arial" w:cs="Arial"/>
          <w:sz w:val="20"/>
          <w:szCs w:val="20"/>
        </w:rPr>
        <w:lastRenderedPageBreak/>
        <w:t>Mantendo o mesmo</w:t>
      </w:r>
      <w:proofErr w:type="gramEnd"/>
      <w:r w:rsidRPr="00CC2595">
        <w:rPr>
          <w:rFonts w:ascii="Arial" w:hAnsi="Arial" w:cs="Arial"/>
          <w:sz w:val="20"/>
          <w:szCs w:val="20"/>
        </w:rPr>
        <w:t xml:space="preserve"> padrão de construção, o comprimento da linha poligonal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2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3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4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5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6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7</w:t>
      </w:r>
      <w:r>
        <w:rPr>
          <w:rFonts w:ascii="Arial" w:hAnsi="Arial" w:cs="Arial"/>
          <w:sz w:val="20"/>
          <w:szCs w:val="20"/>
        </w:rPr>
        <w:t xml:space="preserve">, </w:t>
      </w:r>
      <w:r w:rsidRPr="00CC2595">
        <w:rPr>
          <w:rFonts w:ascii="Arial" w:hAnsi="Arial" w:cs="Arial"/>
          <w:sz w:val="20"/>
          <w:szCs w:val="20"/>
        </w:rPr>
        <w:t>de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 xml:space="preserve"> até o vértice P</w:t>
      </w:r>
      <w:r w:rsidRPr="00CC2595">
        <w:rPr>
          <w:rFonts w:ascii="Arial" w:hAnsi="Arial" w:cs="Arial"/>
          <w:sz w:val="20"/>
          <w:szCs w:val="20"/>
          <w:vertAlign w:val="subscript"/>
        </w:rPr>
        <w:t>7</w:t>
      </w:r>
      <w:r w:rsidRPr="00CC2595">
        <w:rPr>
          <w:rFonts w:ascii="Arial" w:hAnsi="Arial" w:cs="Arial"/>
          <w:sz w:val="20"/>
          <w:szCs w:val="20"/>
        </w:rPr>
        <w:t>, é igual a:</w:t>
      </w:r>
    </w:p>
    <w:p w14:paraId="03CDC9AB" w14:textId="77777777" w:rsidR="00EB0CCE" w:rsidRPr="00CC2595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8BE4CFD" w14:textId="77777777" w:rsidR="00EB0CCE" w:rsidRPr="00CC259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5a + 7b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62B0B">
        <w:rPr>
          <w:rFonts w:ascii="Arial" w:hAnsi="Arial" w:cs="Arial"/>
          <w:sz w:val="20"/>
          <w:szCs w:val="20"/>
        </w:rPr>
        <w:t>(</w:t>
      </w:r>
      <w:proofErr w:type="gramEnd"/>
      <w:r w:rsidRPr="00F62B0B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8a + 12b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13a + 20b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CC2595">
        <w:rPr>
          <w:rFonts w:ascii="Arial" w:hAnsi="Arial" w:cs="Arial"/>
          <w:sz w:val="20"/>
          <w:szCs w:val="20"/>
        </w:rPr>
        <w:t>(</w:t>
      </w:r>
      <w:proofErr w:type="gramEnd"/>
      <w:r w:rsidRPr="00CC2595">
        <w:rPr>
          <w:rFonts w:ascii="Arial" w:hAnsi="Arial" w:cs="Arial"/>
          <w:sz w:val="20"/>
          <w:szCs w:val="20"/>
        </w:rPr>
        <w:t>D) 21a + 33b</w:t>
      </w:r>
    </w:p>
    <w:p w14:paraId="079C2B4E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D35F4F4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6A02EF28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0D9DCC6B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9B7D426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1C52A740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29E6F607" w14:textId="77777777" w:rsidR="00EB0CCE" w:rsidRPr="00424EB1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36. </w:t>
      </w:r>
      <w:r w:rsidRPr="00424EB1">
        <w:rPr>
          <w:rFonts w:ascii="Arial" w:hAnsi="Arial" w:cs="Arial"/>
          <w:sz w:val="20"/>
          <w:szCs w:val="20"/>
        </w:rPr>
        <w:t>Cinco cartas de um baralho estão sobre uma mesa; duas delas são Reis, como indicam as imagens.</w:t>
      </w:r>
    </w:p>
    <w:p w14:paraId="1C7931BA" w14:textId="630FB034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75EFCE20" wp14:editId="55BF45BE">
            <wp:extent cx="6210300" cy="1476375"/>
            <wp:effectExtent l="0" t="0" r="0" b="9525"/>
            <wp:docPr id="514555526" name="Imagem 12" descr="Desenho de uma pesso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55526" name="Imagem 12" descr="Desenho de uma pesso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57579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6528990B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Após serem viradas para baixo e embaralhadas, uma pessoa retira uma dessas cartas ao acaso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sz w:val="20"/>
          <w:szCs w:val="20"/>
        </w:rPr>
        <w:t>e, em seguida, retira outra.</w:t>
      </w:r>
    </w:p>
    <w:p w14:paraId="61841F06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4A715D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A probabilidade de sair Rei apenas na segunda retirada equivale a:</w:t>
      </w:r>
    </w:p>
    <w:p w14:paraId="38FD2807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2F56F5B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40" w:dyaOrig="620" w14:anchorId="0BC396BE">
          <v:shape id="_x0000_i1030" type="#_x0000_t75" style="width:12pt;height:30.6pt" o:ole="">
            <v:imagedata r:id="rId28" o:title=""/>
          </v:shape>
          <o:OLEObject Type="Embed" ProgID="Equation.3" ShapeID="_x0000_i1030" DrawAspect="Content" ObjectID="_1807288769" r:id="rId29"/>
        </w:objec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20" w:dyaOrig="620" w14:anchorId="697AA6E7">
          <v:shape id="_x0000_i1031" type="#_x0000_t75" style="width:11.4pt;height:30.6pt" o:ole="">
            <v:imagedata r:id="rId30" o:title=""/>
          </v:shape>
          <o:OLEObject Type="Embed" ProgID="Equation.3" ShapeID="_x0000_i1031" DrawAspect="Content" ObjectID="_1807288770" r:id="rId31"/>
        </w:objec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40" w:dyaOrig="620" w14:anchorId="2161C862">
          <v:shape id="_x0000_i1032" type="#_x0000_t75" style="width:12pt;height:30.6pt" o:ole="">
            <v:imagedata r:id="rId32" o:title=""/>
          </v:shape>
          <o:OLEObject Type="Embed" ProgID="Equation.3" ShapeID="_x0000_i1032" DrawAspect="Content" ObjectID="_1807288771" r:id="rId33"/>
        </w:object>
      </w:r>
      <w:r>
        <w:rPr>
          <w:rFonts w:ascii="Arial" w:hAnsi="Arial" w:cs="Arial"/>
          <w:sz w:val="20"/>
          <w:szCs w:val="20"/>
        </w:rPr>
        <w:t xml:space="preserve">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62B0B">
        <w:rPr>
          <w:rFonts w:ascii="Arial" w:hAnsi="Arial" w:cs="Arial"/>
          <w:sz w:val="20"/>
          <w:szCs w:val="20"/>
        </w:rPr>
        <w:t>(</w:t>
      </w:r>
      <w:proofErr w:type="gramEnd"/>
      <w:r w:rsidRPr="00F62B0B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position w:val="-24"/>
          <w:sz w:val="20"/>
          <w:szCs w:val="20"/>
        </w:rPr>
        <w:object w:dxaOrig="320" w:dyaOrig="620" w14:anchorId="3F51109F">
          <v:shape id="_x0000_i1033" type="#_x0000_t75" style="width:15.6pt;height:30.6pt" o:ole="">
            <v:imagedata r:id="rId34" o:title=""/>
          </v:shape>
          <o:OLEObject Type="Embed" ProgID="Equation.3" ShapeID="_x0000_i1033" DrawAspect="Content" ObjectID="_1807288772" r:id="rId35"/>
        </w:object>
      </w:r>
    </w:p>
    <w:p w14:paraId="34E3D476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416EA73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5E997C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65BF6D3" w14:textId="77777777" w:rsidR="00EB0CCE" w:rsidRPr="00781E49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3118CB07" w14:textId="77777777" w:rsidR="00EB0CCE" w:rsidRPr="004245B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1F31A53C" w14:textId="77777777" w:rsidR="00EB0CCE" w:rsidRPr="005207CA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4E9CB288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5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 w:rsidRPr="00A27F47">
        <w:rPr>
          <w:rFonts w:ascii="Arial" w:hAnsi="Arial" w:cs="Arial"/>
          <w:sz w:val="20"/>
          <w:szCs w:val="20"/>
        </w:rPr>
        <w:t>Segundo historiadores da matemática, a análise de padrões como os ilustrados a seguir</w:t>
      </w:r>
      <w:r>
        <w:rPr>
          <w:rFonts w:ascii="Arial" w:hAnsi="Arial" w:cs="Arial"/>
          <w:sz w:val="20"/>
          <w:szCs w:val="20"/>
        </w:rPr>
        <w:t xml:space="preserve"> </w:t>
      </w:r>
      <w:r w:rsidRPr="00A27F47">
        <w:rPr>
          <w:rFonts w:ascii="Arial" w:hAnsi="Arial" w:cs="Arial"/>
          <w:sz w:val="20"/>
          <w:szCs w:val="20"/>
        </w:rPr>
        <w:t>possibilitou a descoberta das triplas pitagóricas.</w:t>
      </w:r>
    </w:p>
    <w:p w14:paraId="6C79ED09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C87661C" w14:textId="7E1A056B" w:rsidR="00EB0CCE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6E4198D" wp14:editId="474ED92D">
            <wp:extent cx="5229225" cy="1304925"/>
            <wp:effectExtent l="19050" t="19050" r="28575" b="28575"/>
            <wp:docPr id="115806010" name="Imagem 33" descr="Calendário, Gráfico de dispers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06010" name="Imagem 33" descr="Calendário, Gráfico de dispers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3049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165131F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D9B42A8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8592249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27F47">
        <w:rPr>
          <w:rFonts w:ascii="Arial" w:hAnsi="Arial" w:cs="Arial"/>
          <w:sz w:val="20"/>
          <w:szCs w:val="20"/>
        </w:rPr>
        <w:t>Observe que os números inteiros 3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>, 4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 xml:space="preserve"> e 5</w:t>
      </w:r>
      <w:r w:rsidRPr="00A27F47">
        <w:rPr>
          <w:rFonts w:ascii="Arial" w:hAnsi="Arial" w:cs="Arial"/>
          <w:sz w:val="20"/>
          <w:szCs w:val="20"/>
          <w:vertAlign w:val="superscript"/>
        </w:rPr>
        <w:t>2</w:t>
      </w:r>
      <w:r w:rsidRPr="00A27F47">
        <w:rPr>
          <w:rFonts w:ascii="Arial" w:hAnsi="Arial" w:cs="Arial"/>
          <w:sz w:val="20"/>
          <w:szCs w:val="20"/>
        </w:rPr>
        <w:t>, representados respectivamente pelas 2ª, 3ª e 4ª</w:t>
      </w:r>
      <w:r>
        <w:rPr>
          <w:rFonts w:ascii="Arial" w:hAnsi="Arial" w:cs="Arial"/>
          <w:sz w:val="20"/>
          <w:szCs w:val="20"/>
        </w:rPr>
        <w:t xml:space="preserve"> </w:t>
      </w:r>
      <w:r w:rsidRPr="00A27F47">
        <w:rPr>
          <w:rFonts w:ascii="Arial" w:hAnsi="Arial" w:cs="Arial"/>
          <w:sz w:val="20"/>
          <w:szCs w:val="20"/>
        </w:rPr>
        <w:t>figuras, satisfazem ao Teorema de Pitágoras. Dessa forma (3, 4, 5) é uma tripla pitagórica.</w:t>
      </w:r>
    </w:p>
    <w:p w14:paraId="0E854315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96B3A26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27F47">
        <w:rPr>
          <w:rFonts w:ascii="Arial" w:hAnsi="Arial" w:cs="Arial"/>
          <w:sz w:val="20"/>
          <w:szCs w:val="20"/>
        </w:rPr>
        <w:t>Os quadrados representados pelas 4ª, 11ª e nª figuras determinam</w:t>
      </w:r>
      <w:r>
        <w:rPr>
          <w:rFonts w:ascii="Arial" w:hAnsi="Arial" w:cs="Arial"/>
          <w:sz w:val="20"/>
          <w:szCs w:val="20"/>
        </w:rPr>
        <w:t xml:space="preserve"> outra tripla pitagórica, sendo </w:t>
      </w:r>
      <w:r w:rsidRPr="00A27F47">
        <w:rPr>
          <w:rFonts w:ascii="Arial" w:hAnsi="Arial" w:cs="Arial"/>
          <w:sz w:val="20"/>
          <w:szCs w:val="20"/>
        </w:rPr>
        <w:t xml:space="preserve">o valor de </w:t>
      </w:r>
      <w:r w:rsidRPr="003A5946">
        <w:rPr>
          <w:rFonts w:ascii="Arial" w:hAnsi="Arial" w:cs="Arial"/>
          <w:b/>
          <w:sz w:val="20"/>
          <w:szCs w:val="20"/>
        </w:rPr>
        <w:t xml:space="preserve">n </w:t>
      </w:r>
      <w:r w:rsidRPr="00A27F47">
        <w:rPr>
          <w:rFonts w:ascii="Arial" w:hAnsi="Arial" w:cs="Arial"/>
          <w:sz w:val="20"/>
          <w:szCs w:val="20"/>
        </w:rPr>
        <w:t>igual a:</w:t>
      </w:r>
    </w:p>
    <w:p w14:paraId="11A27C27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181AE6D" w14:textId="77777777" w:rsidR="00EB0CCE" w:rsidRPr="00A27F47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10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B663C8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B663C8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12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14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27F47">
        <w:rPr>
          <w:rFonts w:ascii="Arial" w:hAnsi="Arial" w:cs="Arial"/>
          <w:sz w:val="20"/>
          <w:szCs w:val="20"/>
        </w:rPr>
        <w:t>(</w:t>
      </w:r>
      <w:proofErr w:type="gramEnd"/>
      <w:r w:rsidRPr="00A27F47">
        <w:rPr>
          <w:rFonts w:ascii="Arial" w:hAnsi="Arial" w:cs="Arial"/>
          <w:sz w:val="20"/>
          <w:szCs w:val="20"/>
        </w:rPr>
        <w:t>D) 16</w:t>
      </w:r>
    </w:p>
    <w:p w14:paraId="070D3F4D" w14:textId="77777777" w:rsidR="00EB0CCE" w:rsidRPr="004C41E2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2422D3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5FCC5776" w14:textId="77777777" w:rsidR="00EB0CCE" w:rsidRPr="0003722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3D443F94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De acordo com o padrão, temos: </w:t>
      </w:r>
    </w:p>
    <w:p w14:paraId="7E47F850" w14:textId="77777777" w:rsidR="00EB0CCE" w:rsidRPr="00A27F47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2A0E1651" w14:textId="77777777" w:rsidR="00EB0CCE" w:rsidRPr="00261CF4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A27F47">
        <w:rPr>
          <w:rFonts w:ascii="Arial" w:hAnsi="Arial" w:cs="Arial"/>
          <w:b/>
          <w:color w:val="FF0000"/>
          <w:position w:val="-56"/>
          <w:sz w:val="20"/>
          <w:szCs w:val="20"/>
        </w:rPr>
        <w:object w:dxaOrig="9999" w:dyaOrig="1240" w14:anchorId="47B4FC5B">
          <v:shape id="_x0000_i1034" type="#_x0000_t75" style="width:475.2pt;height:58.8pt" o:ole="" o:bordertopcolor="this" o:borderleftcolor="this" o:borderbottomcolor="this" o:borderrightcolor="this" filled="t" fillcolor="#daeef3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807288773" r:id="rId3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97AE1A3" w14:textId="77777777" w:rsidR="00EB0CCE" w:rsidRPr="00B0470C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7A2F1D9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7C8F92A7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6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9B32B5">
        <w:rPr>
          <w:rFonts w:ascii="Arial" w:hAnsi="Arial" w:cs="Arial"/>
          <w:sz w:val="20"/>
          <w:szCs w:val="20"/>
        </w:rPr>
        <w:t>Considerando o conceito de simetria, observe o desenho abaixo:</w:t>
      </w:r>
    </w:p>
    <w:p w14:paraId="2AFA1EA9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876F4F6" w14:textId="57CBEC07" w:rsidR="00EB0CCE" w:rsidRPr="009B32B5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05420980" wp14:editId="36EE5E34">
            <wp:extent cx="1143000" cy="876300"/>
            <wp:effectExtent l="0" t="0" r="0" b="0"/>
            <wp:docPr id="1536813964" name="Imagem 32" descr="Gráfico, Gráfico de caixa estrei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813964" name="Imagem 32" descr="Gráfico, Gráfico de caixa estreit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06AB7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rial" w:hAnsi="Arial" w:cs="Arial"/>
          <w:sz w:val="20"/>
          <w:szCs w:val="20"/>
        </w:rPr>
        <w:t>Os pontos A e B são simétricos em relação à reta s, quando s é a mediatriz do segmento AB.</w:t>
      </w:r>
    </w:p>
    <w:p w14:paraId="332AD728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D8CE9DC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rial" w:hAnsi="Arial" w:cs="Arial"/>
          <w:sz w:val="20"/>
          <w:szCs w:val="20"/>
        </w:rPr>
        <w:t>Observe este novo desenho:</w:t>
      </w:r>
    </w:p>
    <w:p w14:paraId="71F4459B" w14:textId="255C82CE" w:rsidR="00EB0CCE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1733031" wp14:editId="71A0B5F9">
            <wp:extent cx="647700" cy="676275"/>
            <wp:effectExtent l="0" t="0" r="0" b="9525"/>
            <wp:docPr id="609409130" name="Imagem 31" descr="Ícon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409130" name="Imagem 31" descr="Ícon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F3D59" w14:textId="77777777" w:rsidR="00EB0CCE" w:rsidRDefault="00EB0CCE" w:rsidP="00EB0CCE">
      <w:pPr>
        <w:autoSpaceDE w:val="0"/>
        <w:autoSpaceDN w:val="0"/>
        <w:adjustRightInd w:val="0"/>
        <w:rPr>
          <w:rFonts w:ascii="Avenir-Book" w:hAnsi="Avenir-Book" w:cs="Avenir-Book"/>
          <w:sz w:val="20"/>
          <w:szCs w:val="20"/>
        </w:rPr>
      </w:pPr>
    </w:p>
    <w:p w14:paraId="20816ADB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B32B5">
        <w:rPr>
          <w:rFonts w:ascii="Avenir-Book" w:hAnsi="Avenir-Book" w:cs="Avenir-Book"/>
          <w:sz w:val="20"/>
          <w:szCs w:val="20"/>
        </w:rPr>
        <w:t>Em relação à reta s, a imagem simétrica da letra R apresentada no desenho é:</w:t>
      </w:r>
    </w:p>
    <w:p w14:paraId="1FED2023" w14:textId="77777777" w:rsidR="00EB0CCE" w:rsidRPr="009B32B5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6F6AA9D" w14:textId="65D36095" w:rsidR="00EB0CCE" w:rsidRPr="009B32B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B0CA696" wp14:editId="3E1925FE">
            <wp:extent cx="5400675" cy="495300"/>
            <wp:effectExtent l="0" t="0" r="9525" b="0"/>
            <wp:docPr id="695578914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C4951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2C955AB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A simetria em relação à reta vertical, mantém as distâncias de cada ponto da figura e sua posição. </w:t>
      </w:r>
    </w:p>
    <w:p w14:paraId="78C580A8" w14:textId="0EDDEDED" w:rsidR="00EB0CCE" w:rsidRPr="009B32B5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3F5F99B7" wp14:editId="3D71FD6E">
            <wp:extent cx="1276350" cy="723900"/>
            <wp:effectExtent l="0" t="0" r="0" b="0"/>
            <wp:docPr id="184088599" name="Imagem 29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88599" name="Imagem 29" descr="Uma imagem contendo 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5A1FE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</w:p>
    <w:p w14:paraId="43847BF1" w14:textId="04D79C6A" w:rsidR="00EB0CCE" w:rsidRPr="00601472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198D76C" wp14:editId="5914350F">
            <wp:extent cx="6210300" cy="2314575"/>
            <wp:effectExtent l="0" t="0" r="0" b="9525"/>
            <wp:docPr id="2129292739" name="Imagem 28" descr="Tela de celular com texto preto sobre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292739" name="Imagem 28" descr="Tela de celular com texto preto sobre fundo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3B141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903E93F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946">
        <w:rPr>
          <w:rFonts w:ascii="Arial" w:hAnsi="Arial" w:cs="Arial"/>
          <w:sz w:val="20"/>
          <w:szCs w:val="20"/>
        </w:rPr>
        <w:t>Onça e libra são unidades de massa do sistema inglês. Sabe-se q</w:t>
      </w:r>
      <w:r>
        <w:rPr>
          <w:rFonts w:ascii="Arial" w:hAnsi="Arial" w:cs="Arial"/>
          <w:sz w:val="20"/>
          <w:szCs w:val="20"/>
        </w:rPr>
        <w:t xml:space="preserve">ue 16 onças equivalem a 1 libra </w:t>
      </w:r>
      <w:r w:rsidRPr="003A5946">
        <w:rPr>
          <w:rFonts w:ascii="Arial" w:hAnsi="Arial" w:cs="Arial"/>
          <w:sz w:val="20"/>
          <w:szCs w:val="20"/>
        </w:rPr>
        <w:t xml:space="preserve">e que 0,4 onças é igual a </w:t>
      </w:r>
      <w:r w:rsidRPr="003A5946">
        <w:rPr>
          <w:rFonts w:ascii="Arial" w:hAnsi="Arial" w:cs="Arial"/>
          <w:b/>
          <w:sz w:val="20"/>
          <w:szCs w:val="20"/>
        </w:rPr>
        <w:t>x</w:t>
      </w:r>
      <w:r w:rsidRPr="003A5946">
        <w:rPr>
          <w:rFonts w:ascii="Arial" w:hAnsi="Arial" w:cs="Arial"/>
          <w:sz w:val="20"/>
          <w:szCs w:val="20"/>
        </w:rPr>
        <w:t xml:space="preserve"> libras.</w:t>
      </w:r>
    </w:p>
    <w:p w14:paraId="0617FF8A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1B308F4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946">
        <w:rPr>
          <w:rFonts w:ascii="Arial" w:hAnsi="Arial" w:cs="Arial"/>
          <w:sz w:val="20"/>
          <w:szCs w:val="20"/>
        </w:rPr>
        <w:t xml:space="preserve">O valor de </w:t>
      </w:r>
      <w:r w:rsidRPr="003A5946">
        <w:rPr>
          <w:rFonts w:ascii="Arial" w:hAnsi="Arial" w:cs="Arial"/>
          <w:b/>
          <w:sz w:val="20"/>
          <w:szCs w:val="20"/>
        </w:rPr>
        <w:t>x</w:t>
      </w:r>
      <w:r w:rsidRPr="003A5946">
        <w:rPr>
          <w:rFonts w:ascii="Arial" w:hAnsi="Arial" w:cs="Arial"/>
          <w:sz w:val="20"/>
          <w:szCs w:val="20"/>
        </w:rPr>
        <w:t xml:space="preserve"> é igual a:</w:t>
      </w:r>
    </w:p>
    <w:p w14:paraId="2C6B5ED8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E225505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0,0125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0,005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7D4700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7D4700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0,025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3A5946">
        <w:rPr>
          <w:rFonts w:ascii="Arial" w:hAnsi="Arial" w:cs="Arial"/>
          <w:sz w:val="20"/>
          <w:szCs w:val="20"/>
        </w:rPr>
        <w:t>(</w:t>
      </w:r>
      <w:proofErr w:type="gramEnd"/>
      <w:r w:rsidRPr="003A5946">
        <w:rPr>
          <w:rFonts w:ascii="Arial" w:hAnsi="Arial" w:cs="Arial"/>
          <w:sz w:val="20"/>
          <w:szCs w:val="20"/>
        </w:rPr>
        <w:t>D) 0,05</w:t>
      </w:r>
    </w:p>
    <w:p w14:paraId="76245E68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C46A175" w14:textId="77777777" w:rsidR="00EB0CCE" w:rsidRPr="003A5946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Estabelecendo a proporção, temos:</w:t>
      </w:r>
    </w:p>
    <w:p w14:paraId="6CACF213" w14:textId="77777777" w:rsidR="00EB0CCE" w:rsidRPr="006E4AB0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1CFA462" w14:textId="77777777" w:rsidR="00EB0CCE" w:rsidRPr="006E4AB0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3A5946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6320" w:dyaOrig="680" w14:anchorId="6F8D312F">
          <v:shape id="_x0000_i1035" type="#_x0000_t75" style="width:316.2pt;height:33.6pt" o:ole="" o:bordertopcolor="this" o:borderleftcolor="this" o:borderbottomcolor="this" o:borderrightcolor="this" filled="t" fillcolor="#daeef3">
            <v:imagedata r:id="rId4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5" DrawAspect="Content" ObjectID="_1807288774" r:id="rId4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5E22994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6061F4C5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57466E">
        <w:rPr>
          <w:rFonts w:ascii="Arial" w:hAnsi="Arial" w:cs="Arial"/>
          <w:sz w:val="20"/>
          <w:szCs w:val="20"/>
        </w:rPr>
        <w:t>Considere na imagem abaixo:</w:t>
      </w:r>
    </w:p>
    <w:p w14:paraId="28F819E3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105D7A8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• os quadrados ACFG e ABHI, cujas áreas medem, respectivamente, S</w:t>
      </w:r>
      <w:r w:rsidRPr="0057466E">
        <w:rPr>
          <w:rFonts w:ascii="Arial" w:hAnsi="Arial" w:cs="Arial"/>
          <w:sz w:val="20"/>
          <w:szCs w:val="20"/>
          <w:vertAlign w:val="subscript"/>
        </w:rPr>
        <w:t>1</w:t>
      </w:r>
      <w:r w:rsidRPr="0057466E">
        <w:rPr>
          <w:rFonts w:ascii="Arial" w:hAnsi="Arial" w:cs="Arial"/>
          <w:sz w:val="20"/>
          <w:szCs w:val="20"/>
        </w:rPr>
        <w:t xml:space="preserve"> e S</w:t>
      </w:r>
      <w:r w:rsidRPr="0057466E">
        <w:rPr>
          <w:rFonts w:ascii="Arial" w:hAnsi="Arial" w:cs="Arial"/>
          <w:sz w:val="20"/>
          <w:szCs w:val="20"/>
          <w:vertAlign w:val="subscript"/>
        </w:rPr>
        <w:t>2</w:t>
      </w:r>
      <w:r w:rsidRPr="0057466E">
        <w:rPr>
          <w:rFonts w:ascii="Arial" w:hAnsi="Arial" w:cs="Arial"/>
          <w:sz w:val="20"/>
          <w:szCs w:val="20"/>
        </w:rPr>
        <w:t>;</w:t>
      </w:r>
    </w:p>
    <w:p w14:paraId="682F18BA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1D48975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• o triângulo retângulo ABC;</w:t>
      </w:r>
    </w:p>
    <w:p w14:paraId="01AA514F" w14:textId="77777777" w:rsidR="00EB0CCE" w:rsidRPr="0057466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7DFDE44A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venir-Book" w:hAnsi="Avenir-Book" w:cs="Avenir-Book"/>
        </w:rPr>
      </w:pPr>
      <w:r w:rsidRPr="0057466E">
        <w:rPr>
          <w:rFonts w:ascii="Arial" w:hAnsi="Arial" w:cs="Arial"/>
          <w:sz w:val="20"/>
          <w:szCs w:val="20"/>
        </w:rPr>
        <w:t>• o trapézio retângulo BCDE, construído sobre a hipotenusa BC, que contém o ponto X</w:t>
      </w:r>
      <w:r>
        <w:rPr>
          <w:rFonts w:ascii="Avenir-Book" w:hAnsi="Avenir-Book" w:cs="Avenir-Book"/>
        </w:rPr>
        <w:t>.</w:t>
      </w:r>
    </w:p>
    <w:p w14:paraId="102BEB9D" w14:textId="77777777" w:rsidR="00EB0CCE" w:rsidRPr="0057466E" w:rsidRDefault="00EB0CCE" w:rsidP="00EB0CCE">
      <w:pPr>
        <w:autoSpaceDE w:val="0"/>
        <w:autoSpaceDN w:val="0"/>
        <w:adjustRightInd w:val="0"/>
        <w:spacing w:line="276" w:lineRule="auto"/>
        <w:rPr>
          <w:rFonts w:ascii="Avenir-Book" w:hAnsi="Avenir-Book" w:cs="Avenir-Book"/>
          <w:sz w:val="6"/>
          <w:szCs w:val="6"/>
        </w:rPr>
      </w:pPr>
    </w:p>
    <w:p w14:paraId="7FFAA74B" w14:textId="50DF0065" w:rsidR="00EB0CCE" w:rsidRPr="00F02C99" w:rsidRDefault="00EB0CCE" w:rsidP="00EB0CCE">
      <w:pPr>
        <w:autoSpaceDE w:val="0"/>
        <w:autoSpaceDN w:val="0"/>
        <w:adjustRightInd w:val="0"/>
        <w:jc w:val="center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6"/>
          <w:szCs w:val="6"/>
        </w:rPr>
        <w:lastRenderedPageBreak/>
        <w:drawing>
          <wp:inline distT="0" distB="0" distL="0" distR="0" wp14:anchorId="16A4C7F2" wp14:editId="774460F4">
            <wp:extent cx="2266950" cy="2057400"/>
            <wp:effectExtent l="0" t="0" r="0" b="0"/>
            <wp:docPr id="1335525749" name="Imagem 27" descr="Tela de jogo de vídeo gam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525749" name="Imagem 27" descr="Tela de jogo de vídeo gam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6"/>
          <w:szCs w:val="6"/>
        </w:rPr>
        <w:t xml:space="preserve">                    </w:t>
      </w:r>
      <w:r>
        <w:rPr>
          <w:rFonts w:ascii="Arial" w:hAnsi="Arial" w:cs="Arial"/>
          <w:noProof/>
          <w:sz w:val="6"/>
          <w:szCs w:val="6"/>
        </w:rPr>
        <w:drawing>
          <wp:inline distT="0" distB="0" distL="0" distR="0" wp14:anchorId="4A9749BC" wp14:editId="15486F0C">
            <wp:extent cx="2190750" cy="2057400"/>
            <wp:effectExtent l="0" t="0" r="0" b="0"/>
            <wp:docPr id="319205151" name="Imagem 26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205151" name="Imagem 26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0F077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F45E7C3" w14:textId="77777777" w:rsidR="00EB0CCE" w:rsidRPr="00F90060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7D8F836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7466E">
        <w:rPr>
          <w:rFonts w:ascii="Arial" w:hAnsi="Arial" w:cs="Arial"/>
          <w:sz w:val="20"/>
          <w:szCs w:val="20"/>
        </w:rPr>
        <w:t>Sabendo que CD = CX e BE = BX, a área do trapézio BCDE é igual a:</w:t>
      </w:r>
    </w:p>
    <w:p w14:paraId="49B6F753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B3AFE7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63371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57466E">
        <w:rPr>
          <w:rFonts w:ascii="Arial" w:hAnsi="Arial" w:cs="Arial"/>
          <w:position w:val="-24"/>
          <w:sz w:val="20"/>
          <w:szCs w:val="20"/>
        </w:rPr>
        <w:object w:dxaOrig="820" w:dyaOrig="639" w14:anchorId="28F47B54">
          <v:shape id="_x0000_i1036" type="#_x0000_t75" style="width:41.4pt;height:32.4pt" o:ole="">
            <v:imagedata r:id="rId16" o:title=""/>
          </v:shape>
          <o:OLEObject Type="Embed" ProgID="Equation.3" ShapeID="_x0000_i1036" DrawAspect="Content" ObjectID="_1807288775" r:id="rId43"/>
        </w:object>
      </w:r>
      <w:r>
        <w:rPr>
          <w:rFonts w:ascii="Arial" w:hAnsi="Arial" w:cs="Arial"/>
          <w:sz w:val="20"/>
          <w:szCs w:val="20"/>
        </w:rPr>
        <w:t xml:space="preserve">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57466E">
        <w:rPr>
          <w:rFonts w:ascii="Arial" w:hAnsi="Arial" w:cs="Arial"/>
          <w:position w:val="-24"/>
          <w:sz w:val="20"/>
          <w:szCs w:val="20"/>
        </w:rPr>
        <w:object w:dxaOrig="820" w:dyaOrig="639" w14:anchorId="462C0AAD">
          <v:shape id="_x0000_i1037" type="#_x0000_t75" style="width:41.4pt;height:32.4pt" o:ole="">
            <v:imagedata r:id="rId18" o:title=""/>
          </v:shape>
          <o:OLEObject Type="Embed" ProgID="Equation.3" ShapeID="_x0000_i1037" DrawAspect="Content" ObjectID="_1807288776" r:id="rId44"/>
        </w:object>
      </w:r>
      <w:r>
        <w:rPr>
          <w:rFonts w:ascii="Arial" w:hAnsi="Arial" w:cs="Arial"/>
          <w:sz w:val="20"/>
          <w:szCs w:val="20"/>
        </w:rPr>
        <w:t xml:space="preserve">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</w:t>
      </w:r>
      <w:r w:rsidRPr="0057466E">
        <w:rPr>
          <w:rFonts w:ascii="Arial" w:hAnsi="Arial" w:cs="Arial"/>
          <w:position w:val="-12"/>
          <w:sz w:val="20"/>
          <w:szCs w:val="20"/>
        </w:rPr>
        <w:object w:dxaOrig="760" w:dyaOrig="400" w14:anchorId="22A25B6D">
          <v:shape id="_x0000_i1038" type="#_x0000_t75" style="width:38.4pt;height:20.4pt" o:ole="">
            <v:imagedata r:id="rId20" o:title=""/>
          </v:shape>
          <o:OLEObject Type="Embed" ProgID="Equation.3" ShapeID="_x0000_i1038" DrawAspect="Content" ObjectID="_1807288777" r:id="rId45"/>
        </w:object>
      </w:r>
      <w:r>
        <w:rPr>
          <w:rFonts w:ascii="Arial" w:hAnsi="Arial" w:cs="Arial"/>
          <w:sz w:val="20"/>
          <w:szCs w:val="20"/>
        </w:rPr>
        <w:t xml:space="preserve">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57466E">
        <w:rPr>
          <w:rFonts w:ascii="Arial" w:hAnsi="Arial" w:cs="Arial"/>
          <w:position w:val="-12"/>
          <w:sz w:val="20"/>
          <w:szCs w:val="20"/>
        </w:rPr>
        <w:object w:dxaOrig="1480" w:dyaOrig="460" w14:anchorId="499A3080">
          <v:shape id="_x0000_i1039" type="#_x0000_t75" style="width:74.4pt;height:23.4pt" o:ole="">
            <v:imagedata r:id="rId22" o:title=""/>
          </v:shape>
          <o:OLEObject Type="Embed" ProgID="Equation.3" ShapeID="_x0000_i1039" DrawAspect="Content" ObjectID="_1807288778" r:id="rId46"/>
        </w:object>
      </w:r>
    </w:p>
    <w:p w14:paraId="71414132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Identificando os segmentos na figura e utilizando as áreas, temos:</w:t>
      </w:r>
    </w:p>
    <w:p w14:paraId="6F6F01D0" w14:textId="77777777" w:rsidR="00EB0CCE" w:rsidRPr="00F90060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0A58313" w14:textId="77777777" w:rsidR="00EB0CCE" w:rsidRPr="0057466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626559">
        <w:rPr>
          <w:rFonts w:ascii="Arial" w:hAnsi="Arial" w:cs="Arial"/>
          <w:b/>
          <w:color w:val="FF0000"/>
          <w:position w:val="-90"/>
          <w:sz w:val="20"/>
          <w:szCs w:val="20"/>
        </w:rPr>
        <w:object w:dxaOrig="9820" w:dyaOrig="1620" w14:anchorId="3B43786A">
          <v:shape id="_x0000_i1040" type="#_x0000_t75" style="width:483pt;height:78.6pt" o:ole="" o:bordertopcolor="this" o:borderleftcolor="this" o:borderbottomcolor="this" o:borderrightcolor="this" filled="t" fillcolor="#daeef3">
            <v:imagedata r:id="rId4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0" DrawAspect="Content" ObjectID="_1807288779" r:id="rId4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8A222C8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F1D12F2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96CA1E8" w14:textId="77777777" w:rsidR="00EB0CCE" w:rsidRPr="00F345B6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6"/>
          <w:szCs w:val="6"/>
        </w:rPr>
      </w:pPr>
    </w:p>
    <w:p w14:paraId="378C32E0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18887CF1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163371">
        <w:rPr>
          <w:rFonts w:ascii="Arial" w:hAnsi="Arial" w:cs="Arial"/>
          <w:sz w:val="20"/>
          <w:szCs w:val="20"/>
        </w:rPr>
        <w:t>Os veículos para transporte de passageiros em determinado município têm vida útil que varia entre 4 e 6 anos, dependendo do tipo de veículo. Nos gráficos está representada a desvalorização de quatro desses veículos ao longo dos anos, a partir de sua compra na fábrica.</w:t>
      </w:r>
    </w:p>
    <w:p w14:paraId="472DDA8E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5264B7C" w14:textId="5C2D3A2C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266F5326" wp14:editId="16D8E352">
            <wp:extent cx="5829300" cy="4181475"/>
            <wp:effectExtent l="0" t="0" r="0" b="9525"/>
            <wp:docPr id="561299022" name="Imagem 25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299022" name="Imagem 25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A9BF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22AEAE0C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63371">
        <w:rPr>
          <w:rFonts w:ascii="Arial" w:hAnsi="Arial" w:cs="Arial"/>
          <w:sz w:val="20"/>
          <w:szCs w:val="20"/>
        </w:rPr>
        <w:t>Com base nos gráficos, o veículo que mais desvalorizou por ano foi:</w:t>
      </w:r>
    </w:p>
    <w:p w14:paraId="2257CF3D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DB61893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63371">
        <w:rPr>
          <w:rFonts w:ascii="Arial" w:hAnsi="Arial" w:cs="Arial"/>
          <w:sz w:val="20"/>
          <w:szCs w:val="20"/>
        </w:rPr>
        <w:t xml:space="preserve">(A) I            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</w:t>
      </w:r>
      <w:r w:rsidRPr="00883820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883820">
        <w:rPr>
          <w:rFonts w:ascii="Arial" w:hAnsi="Arial" w:cs="Arial"/>
          <w:b/>
          <w:color w:val="FF0000"/>
          <w:sz w:val="20"/>
          <w:szCs w:val="20"/>
        </w:rPr>
        <w:t>B)</w:t>
      </w:r>
      <w:r w:rsidRPr="00163371">
        <w:rPr>
          <w:rFonts w:ascii="Arial" w:hAnsi="Arial" w:cs="Arial"/>
          <w:sz w:val="20"/>
          <w:szCs w:val="20"/>
        </w:rPr>
        <w:t xml:space="preserve"> II      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63371">
        <w:rPr>
          <w:rFonts w:ascii="Arial" w:hAnsi="Arial" w:cs="Arial"/>
          <w:sz w:val="20"/>
          <w:szCs w:val="20"/>
        </w:rPr>
        <w:t xml:space="preserve">C) III                             </w:t>
      </w:r>
      <w:proofErr w:type="gramStart"/>
      <w:r w:rsidRPr="00163371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63371">
        <w:rPr>
          <w:rFonts w:ascii="Arial" w:hAnsi="Arial" w:cs="Arial"/>
          <w:sz w:val="20"/>
          <w:szCs w:val="20"/>
        </w:rPr>
        <w:t>D) IV</w:t>
      </w:r>
    </w:p>
    <w:p w14:paraId="6DD988D4" w14:textId="77777777" w:rsidR="00EB0CCE" w:rsidRPr="00163371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D632D8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veículo que mais desvalorizou será aquele cujo gráfico apresentar maior taxa de variação, em módulo:</w:t>
      </w:r>
    </w:p>
    <w:p w14:paraId="70D60E92" w14:textId="77777777" w:rsidR="00EB0CCE" w:rsidRPr="00C13586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EF9ED46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163371">
        <w:rPr>
          <w:rFonts w:ascii="Arial" w:hAnsi="Arial" w:cs="Arial"/>
          <w:b/>
          <w:color w:val="FF0000"/>
          <w:position w:val="-58"/>
          <w:sz w:val="20"/>
          <w:szCs w:val="20"/>
        </w:rPr>
        <w:object w:dxaOrig="7460" w:dyaOrig="1280" w14:anchorId="17D5AE13">
          <v:shape id="_x0000_i1041" type="#_x0000_t75" style="width:398.4pt;height:68.4pt" o:ole="" o:bordertopcolor="this" o:borderleftcolor="this" o:borderbottomcolor="this" o:borderrightcolor="this" filled="t" fillcolor="#daeef3">
            <v:imagedata r:id="rId5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807288780" r:id="rId51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3510888C" w14:textId="77777777" w:rsidR="00EB0CCE" w:rsidRPr="00883820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6532ED6" w14:textId="77777777" w:rsidR="00EB0CCE" w:rsidRPr="00883820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 veículo II a presentou a maior desvalorização.</w:t>
      </w:r>
    </w:p>
    <w:p w14:paraId="5038A8A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28A9D6A5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B16DC4">
        <w:rPr>
          <w:rFonts w:ascii="Arial" w:hAnsi="Arial" w:cs="Arial"/>
          <w:sz w:val="20"/>
          <w:szCs w:val="20"/>
        </w:rPr>
        <w:t>As farmácias W e Y adquirem determinado produto com igual preço de custo. A farmácia W</w:t>
      </w:r>
      <w:r>
        <w:rPr>
          <w:rFonts w:ascii="Arial" w:hAnsi="Arial" w:cs="Arial"/>
          <w:sz w:val="20"/>
          <w:szCs w:val="20"/>
        </w:rPr>
        <w:t xml:space="preserve"> </w:t>
      </w:r>
      <w:r w:rsidRPr="00B16DC4">
        <w:rPr>
          <w:rFonts w:ascii="Arial" w:hAnsi="Arial" w:cs="Arial"/>
          <w:sz w:val="20"/>
          <w:szCs w:val="20"/>
        </w:rPr>
        <w:t xml:space="preserve">vende esse produto com 50% de lucro sobre o preço de custo. </w:t>
      </w:r>
      <w:r>
        <w:rPr>
          <w:rFonts w:ascii="Arial" w:hAnsi="Arial" w:cs="Arial"/>
          <w:sz w:val="20"/>
          <w:szCs w:val="20"/>
        </w:rPr>
        <w:t xml:space="preserve">Na farmácia Y, o preço de venda </w:t>
      </w:r>
      <w:r w:rsidRPr="00B16DC4">
        <w:rPr>
          <w:rFonts w:ascii="Arial" w:hAnsi="Arial" w:cs="Arial"/>
          <w:sz w:val="20"/>
          <w:szCs w:val="20"/>
        </w:rPr>
        <w:t>do produto é 80% mais caro do que na farmácia W.</w:t>
      </w:r>
    </w:p>
    <w:p w14:paraId="169C4D96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5593E93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16DC4">
        <w:rPr>
          <w:rFonts w:ascii="Arial" w:hAnsi="Arial" w:cs="Arial"/>
          <w:sz w:val="20"/>
          <w:szCs w:val="20"/>
        </w:rPr>
        <w:t>O lucro da farmácia Y em relação ao preço de custo é de:</w:t>
      </w:r>
    </w:p>
    <w:p w14:paraId="4BC24107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6458926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16DC4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170%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150%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130%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B16DC4">
        <w:rPr>
          <w:rFonts w:ascii="Arial" w:hAnsi="Arial" w:cs="Arial"/>
          <w:sz w:val="20"/>
          <w:szCs w:val="20"/>
        </w:rPr>
        <w:t>(</w:t>
      </w:r>
      <w:proofErr w:type="gramEnd"/>
      <w:r w:rsidRPr="00B16DC4">
        <w:rPr>
          <w:rFonts w:ascii="Arial" w:hAnsi="Arial" w:cs="Arial"/>
          <w:sz w:val="20"/>
          <w:szCs w:val="20"/>
        </w:rPr>
        <w:t>D) 110%</w:t>
      </w:r>
    </w:p>
    <w:p w14:paraId="64AB6E50" w14:textId="77777777" w:rsidR="00EB0CCE" w:rsidRPr="00B16DC4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FB3E87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Considerando L, V, C os valores do lucro, venda e custo, respectivamente, temos:</w:t>
      </w:r>
    </w:p>
    <w:p w14:paraId="53EA5BFF" w14:textId="77777777" w:rsidR="00EB0CCE" w:rsidRPr="00F345B6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0D83102" w14:textId="77777777" w:rsidR="00EB0CCE" w:rsidRPr="007646E3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0DCFEB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B16DC4">
        <w:rPr>
          <w:rFonts w:ascii="Arial" w:hAnsi="Arial" w:cs="Arial"/>
          <w:b/>
          <w:color w:val="FF0000"/>
          <w:position w:val="-50"/>
          <w:sz w:val="20"/>
          <w:szCs w:val="20"/>
        </w:rPr>
        <w:object w:dxaOrig="5100" w:dyaOrig="1120" w14:anchorId="7B83DD80">
          <v:shape id="_x0000_i1042" type="#_x0000_t75" style="width:277.2pt;height:60.6pt" o:ole="" o:bordertopcolor="this" o:borderleftcolor="this" o:borderbottomcolor="this" o:borderrightcolor="this" filled="t" fillcolor="#daeef3">
            <v:imagedata r:id="rId5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807288781" r:id="rId53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19252015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04C786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50B4F3A5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8F3D90F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DDADF4D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35. </w:t>
      </w:r>
      <w:r w:rsidRPr="00CC2595">
        <w:rPr>
          <w:rFonts w:ascii="Arial" w:hAnsi="Arial" w:cs="Arial"/>
          <w:sz w:val="20"/>
          <w:szCs w:val="20"/>
        </w:rPr>
        <w:t xml:space="preserve">Admitindo um retângulo cujos lados medem </w:t>
      </w:r>
      <w:r w:rsidRPr="00CC2595">
        <w:rPr>
          <w:rFonts w:ascii="Arial" w:hAnsi="Arial" w:cs="Arial"/>
          <w:b/>
          <w:sz w:val="20"/>
          <w:szCs w:val="20"/>
        </w:rPr>
        <w:t>a</w:t>
      </w:r>
      <w:r w:rsidRPr="00CC2595">
        <w:rPr>
          <w:rFonts w:ascii="Arial" w:hAnsi="Arial" w:cs="Arial"/>
          <w:sz w:val="20"/>
          <w:szCs w:val="20"/>
        </w:rPr>
        <w:t xml:space="preserve"> e </w:t>
      </w:r>
      <w:r w:rsidRPr="00CC2595">
        <w:rPr>
          <w:rFonts w:ascii="Arial" w:hAnsi="Arial" w:cs="Arial"/>
          <w:b/>
          <w:sz w:val="20"/>
          <w:szCs w:val="20"/>
        </w:rPr>
        <w:t>b</w:t>
      </w:r>
      <w:r w:rsidRPr="00CC2595">
        <w:rPr>
          <w:rFonts w:ascii="Arial" w:hAnsi="Arial" w:cs="Arial"/>
          <w:sz w:val="20"/>
          <w:szCs w:val="20"/>
        </w:rPr>
        <w:t>, sendo a &lt; b, é possível formar uma sequência ilimitada de retângulos da seguinte forma: a partir do primeiro, cada novo retângulo é construído acrescentando-se um quadrado cujo lado é igual ao maior lado do retângulo anterior, conforme</w:t>
      </w:r>
      <w:r>
        <w:rPr>
          <w:rFonts w:ascii="Arial" w:hAnsi="Arial" w:cs="Arial"/>
          <w:sz w:val="20"/>
          <w:szCs w:val="20"/>
        </w:rPr>
        <w:t xml:space="preserve"> </w:t>
      </w:r>
      <w:r w:rsidRPr="00CC2595">
        <w:rPr>
          <w:rFonts w:ascii="Arial" w:hAnsi="Arial" w:cs="Arial"/>
          <w:sz w:val="20"/>
          <w:szCs w:val="20"/>
        </w:rPr>
        <w:t>ilustrado a seguir.</w:t>
      </w:r>
    </w:p>
    <w:p w14:paraId="60B5786B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2CD98CD8" w14:textId="26A28979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CD56619" wp14:editId="199590F7">
            <wp:extent cx="6210300" cy="2114550"/>
            <wp:effectExtent l="0" t="0" r="0" b="0"/>
            <wp:docPr id="178027439" name="Imagem 24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27439" name="Imagem 24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D0A7E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885D4F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CC2595">
        <w:rPr>
          <w:rFonts w:ascii="Arial" w:hAnsi="Arial" w:cs="Arial"/>
          <w:sz w:val="20"/>
          <w:szCs w:val="20"/>
        </w:rPr>
        <w:t>A figura IV destaca a linha poligonal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2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3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4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5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6</w:t>
      </w:r>
      <w:r w:rsidRPr="00CC2595">
        <w:rPr>
          <w:rFonts w:ascii="Arial" w:hAnsi="Arial" w:cs="Arial"/>
          <w:sz w:val="20"/>
          <w:szCs w:val="20"/>
        </w:rPr>
        <w:t>, formada pelos lados dos retângulos, que são</w:t>
      </w:r>
      <w:r>
        <w:rPr>
          <w:rFonts w:ascii="Arial" w:hAnsi="Arial" w:cs="Arial"/>
          <w:sz w:val="20"/>
          <w:szCs w:val="20"/>
        </w:rPr>
        <w:t xml:space="preserve"> </w:t>
      </w:r>
      <w:r w:rsidRPr="00CC2595">
        <w:rPr>
          <w:rFonts w:ascii="Arial" w:hAnsi="Arial" w:cs="Arial"/>
          <w:sz w:val="20"/>
          <w:szCs w:val="20"/>
        </w:rPr>
        <w:t>os elementos da sequência (a, b, a + b, a + 2b, 2a + 3b).</w:t>
      </w:r>
    </w:p>
    <w:p w14:paraId="6870A239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440C4EBB" w14:textId="77777777" w:rsidR="00EB0CCE" w:rsidRPr="00CC2595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proofErr w:type="gramStart"/>
      <w:r w:rsidRPr="00CC2595">
        <w:rPr>
          <w:rFonts w:ascii="Arial" w:hAnsi="Arial" w:cs="Arial"/>
          <w:sz w:val="20"/>
          <w:szCs w:val="20"/>
        </w:rPr>
        <w:t>Mantendo o mesmo</w:t>
      </w:r>
      <w:proofErr w:type="gramEnd"/>
      <w:r w:rsidRPr="00CC2595">
        <w:rPr>
          <w:rFonts w:ascii="Arial" w:hAnsi="Arial" w:cs="Arial"/>
          <w:sz w:val="20"/>
          <w:szCs w:val="20"/>
        </w:rPr>
        <w:t xml:space="preserve"> padrão de construção, o comprimento da linha poligonal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2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3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4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5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6</w:t>
      </w:r>
      <w:r w:rsidRPr="00CC2595">
        <w:rPr>
          <w:rFonts w:ascii="Arial" w:hAnsi="Arial" w:cs="Arial"/>
          <w:sz w:val="20"/>
          <w:szCs w:val="20"/>
        </w:rPr>
        <w:t>P</w:t>
      </w:r>
      <w:r w:rsidRPr="00CC2595">
        <w:rPr>
          <w:rFonts w:ascii="Arial" w:hAnsi="Arial" w:cs="Arial"/>
          <w:sz w:val="20"/>
          <w:szCs w:val="20"/>
          <w:vertAlign w:val="subscript"/>
        </w:rPr>
        <w:t>7</w:t>
      </w:r>
      <w:r>
        <w:rPr>
          <w:rFonts w:ascii="Arial" w:hAnsi="Arial" w:cs="Arial"/>
          <w:sz w:val="20"/>
          <w:szCs w:val="20"/>
        </w:rPr>
        <w:t xml:space="preserve">, </w:t>
      </w:r>
      <w:r w:rsidRPr="00CC2595">
        <w:rPr>
          <w:rFonts w:ascii="Arial" w:hAnsi="Arial" w:cs="Arial"/>
          <w:sz w:val="20"/>
          <w:szCs w:val="20"/>
        </w:rPr>
        <w:t>de P</w:t>
      </w:r>
      <w:r w:rsidRPr="00CC2595">
        <w:rPr>
          <w:rFonts w:ascii="Arial" w:hAnsi="Arial" w:cs="Arial"/>
          <w:sz w:val="20"/>
          <w:szCs w:val="20"/>
          <w:vertAlign w:val="subscript"/>
        </w:rPr>
        <w:t>1</w:t>
      </w:r>
      <w:r w:rsidRPr="00CC2595">
        <w:rPr>
          <w:rFonts w:ascii="Arial" w:hAnsi="Arial" w:cs="Arial"/>
          <w:sz w:val="20"/>
          <w:szCs w:val="20"/>
        </w:rPr>
        <w:t xml:space="preserve"> até o vértice P</w:t>
      </w:r>
      <w:r w:rsidRPr="00CC2595">
        <w:rPr>
          <w:rFonts w:ascii="Arial" w:hAnsi="Arial" w:cs="Arial"/>
          <w:sz w:val="20"/>
          <w:szCs w:val="20"/>
          <w:vertAlign w:val="subscript"/>
        </w:rPr>
        <w:t>7</w:t>
      </w:r>
      <w:r w:rsidRPr="00CC2595">
        <w:rPr>
          <w:rFonts w:ascii="Arial" w:hAnsi="Arial" w:cs="Arial"/>
          <w:sz w:val="20"/>
          <w:szCs w:val="20"/>
        </w:rPr>
        <w:t>, é igual a:</w:t>
      </w:r>
    </w:p>
    <w:p w14:paraId="27353699" w14:textId="77777777" w:rsidR="00EB0CCE" w:rsidRPr="00CC2595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F7C5D2E" w14:textId="77777777" w:rsidR="00EB0CCE" w:rsidRPr="00CC2595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5a + 7b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24EB1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8a + 12b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13a + 20b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CC2595">
        <w:rPr>
          <w:rFonts w:ascii="Arial" w:hAnsi="Arial" w:cs="Arial"/>
          <w:sz w:val="20"/>
          <w:szCs w:val="20"/>
        </w:rPr>
        <w:t>(</w:t>
      </w:r>
      <w:proofErr w:type="gramEnd"/>
      <w:r w:rsidRPr="00CC2595">
        <w:rPr>
          <w:rFonts w:ascii="Arial" w:hAnsi="Arial" w:cs="Arial"/>
          <w:sz w:val="20"/>
          <w:szCs w:val="20"/>
        </w:rPr>
        <w:t>D) 21a + 33b</w:t>
      </w:r>
    </w:p>
    <w:p w14:paraId="210F8022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AB36AB2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Mantendo o padrão, será acrescentado um quadrado de lado (2a + 3b). Logo, o próximo elemento da sequência será P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6</w:t>
      </w:r>
      <w:r>
        <w:rPr>
          <w:rFonts w:ascii="Arial" w:hAnsi="Arial" w:cs="Arial"/>
          <w:b/>
          <w:color w:val="FF0000"/>
          <w:sz w:val="20"/>
          <w:szCs w:val="20"/>
        </w:rPr>
        <w:t>P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7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= (a + 2b) + (2a + 3b) = 3a + 5b.</w:t>
      </w:r>
    </w:p>
    <w:p w14:paraId="00112069" w14:textId="77777777" w:rsidR="00EB0CCE" w:rsidRPr="00424EB1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A soma dos segmentos de P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1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a P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7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será: (a) +</w:t>
      </w:r>
      <w:r w:rsidRPr="00424EB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(</w:t>
      </w:r>
      <w:r w:rsidRPr="00424EB1">
        <w:rPr>
          <w:rFonts w:ascii="Arial" w:hAnsi="Arial" w:cs="Arial"/>
          <w:b/>
          <w:color w:val="FF0000"/>
          <w:sz w:val="20"/>
          <w:szCs w:val="20"/>
        </w:rPr>
        <w:t>b</w:t>
      </w:r>
      <w:r>
        <w:rPr>
          <w:rFonts w:ascii="Arial" w:hAnsi="Arial" w:cs="Arial"/>
          <w:b/>
          <w:color w:val="FF0000"/>
          <w:sz w:val="20"/>
          <w:szCs w:val="20"/>
        </w:rPr>
        <w:t>) + (a + b) + (a + 2b) +</w:t>
      </w:r>
      <w:r w:rsidRPr="00424EB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(</w:t>
      </w:r>
      <w:r w:rsidRPr="00424EB1">
        <w:rPr>
          <w:rFonts w:ascii="Arial" w:hAnsi="Arial" w:cs="Arial"/>
          <w:b/>
          <w:color w:val="FF0000"/>
          <w:sz w:val="20"/>
          <w:szCs w:val="20"/>
        </w:rPr>
        <w:t>2a + 3b</w:t>
      </w:r>
      <w:r>
        <w:rPr>
          <w:rFonts w:ascii="Arial" w:hAnsi="Arial" w:cs="Arial"/>
          <w:b/>
          <w:color w:val="FF0000"/>
          <w:sz w:val="20"/>
          <w:szCs w:val="20"/>
        </w:rPr>
        <w:t>)</w:t>
      </w:r>
      <w:r w:rsidRPr="00424EB1">
        <w:rPr>
          <w:rFonts w:ascii="Arial" w:hAnsi="Arial" w:cs="Arial"/>
          <w:b/>
          <w:color w:val="FF0000"/>
          <w:sz w:val="20"/>
          <w:szCs w:val="20"/>
        </w:rPr>
        <w:t xml:space="preserve"> + </w:t>
      </w:r>
      <w:r>
        <w:rPr>
          <w:rFonts w:ascii="Arial" w:hAnsi="Arial" w:cs="Arial"/>
          <w:b/>
          <w:color w:val="FF0000"/>
          <w:sz w:val="20"/>
          <w:szCs w:val="20"/>
        </w:rPr>
        <w:t>(</w:t>
      </w:r>
      <w:r w:rsidRPr="00424EB1">
        <w:rPr>
          <w:rFonts w:ascii="Arial" w:hAnsi="Arial" w:cs="Arial"/>
          <w:b/>
          <w:color w:val="FF0000"/>
          <w:sz w:val="20"/>
          <w:szCs w:val="20"/>
        </w:rPr>
        <w:t>3a + 5b</w:t>
      </w:r>
      <w:r>
        <w:rPr>
          <w:rFonts w:ascii="Arial" w:hAnsi="Arial" w:cs="Arial"/>
          <w:b/>
          <w:color w:val="FF0000"/>
          <w:sz w:val="20"/>
          <w:szCs w:val="20"/>
        </w:rPr>
        <w:t xml:space="preserve">) = </w:t>
      </w:r>
      <w:r w:rsidRPr="00424EB1">
        <w:rPr>
          <w:rFonts w:ascii="Arial" w:hAnsi="Arial" w:cs="Arial"/>
          <w:b/>
          <w:color w:val="FF0000"/>
          <w:sz w:val="20"/>
          <w:szCs w:val="20"/>
          <w:u w:val="single"/>
        </w:rPr>
        <w:t>8a + 12b</w: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2C150548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</w:p>
    <w:p w14:paraId="3D786A48" w14:textId="68212D4C" w:rsidR="00EB0CCE" w:rsidRDefault="00EB0CCE" w:rsidP="00EB0CCE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lastRenderedPageBreak/>
        <w:drawing>
          <wp:inline distT="0" distB="0" distL="0" distR="0" wp14:anchorId="71BA8474" wp14:editId="19E714D9">
            <wp:extent cx="3390900" cy="4352925"/>
            <wp:effectExtent l="19050" t="19050" r="19050" b="28575"/>
            <wp:docPr id="1435459548" name="Imagem 23" descr="Gráfico, Gráfico de mapa de árvor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459548" name="Imagem 23" descr="Gráfico, Gráfico de mapa de árvor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352925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F922C70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35BFAE30" w14:textId="77777777" w:rsidR="00EB0CCE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158A37B0" w14:textId="77777777" w:rsidR="00EB0CCE" w:rsidRPr="00424EB1" w:rsidRDefault="00EB0CCE" w:rsidP="00EB0CC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36. </w:t>
      </w:r>
      <w:r w:rsidRPr="00424EB1">
        <w:rPr>
          <w:rFonts w:ascii="Arial" w:hAnsi="Arial" w:cs="Arial"/>
          <w:sz w:val="20"/>
          <w:szCs w:val="20"/>
        </w:rPr>
        <w:t>Cinco cartas de um baralho estão sobre uma mesa; duas delas são Reis, como indicam as imagens.</w:t>
      </w:r>
    </w:p>
    <w:p w14:paraId="72872304" w14:textId="6A91308A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1B7838E6" wp14:editId="51177663">
            <wp:extent cx="6210300" cy="1476375"/>
            <wp:effectExtent l="0" t="0" r="0" b="9525"/>
            <wp:docPr id="1208820463" name="Imagem 22" descr="Desenho de uma pesso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820463" name="Imagem 22" descr="Desenho de uma pesso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7469D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03CE01C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Após serem viradas para baixo e embaralhadas, uma pessoa retira uma dessas cartas ao acaso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sz w:val="20"/>
          <w:szCs w:val="20"/>
        </w:rPr>
        <w:t>e, em seguida, retira outra.</w:t>
      </w:r>
    </w:p>
    <w:p w14:paraId="7A6E5B4C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6B17D99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A probabilidade de sair Rei apenas na segunda retirada equivale a:</w:t>
      </w:r>
    </w:p>
    <w:p w14:paraId="122C54B1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9B9B263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24EB1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40" w:dyaOrig="620" w14:anchorId="6E2B929D">
          <v:shape id="_x0000_i1043" type="#_x0000_t75" style="width:12pt;height:30.6pt" o:ole="">
            <v:imagedata r:id="rId28" o:title=""/>
          </v:shape>
          <o:OLEObject Type="Embed" ProgID="Equation.3" ShapeID="_x0000_i1043" DrawAspect="Content" ObjectID="_1807288782" r:id="rId55"/>
        </w:objec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20" w:dyaOrig="620" w14:anchorId="18A480AE">
          <v:shape id="_x0000_i1044" type="#_x0000_t75" style="width:11.4pt;height:30.6pt" o:ole="">
            <v:imagedata r:id="rId30" o:title=""/>
          </v:shape>
          <o:OLEObject Type="Embed" ProgID="Equation.3" ShapeID="_x0000_i1044" DrawAspect="Content" ObjectID="_1807288783" r:id="rId56"/>
        </w:objec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</w:t>
      </w:r>
      <w:r w:rsidRPr="00424EB1">
        <w:rPr>
          <w:rFonts w:ascii="Arial" w:hAnsi="Arial" w:cs="Arial"/>
          <w:position w:val="-24"/>
          <w:sz w:val="20"/>
          <w:szCs w:val="20"/>
        </w:rPr>
        <w:object w:dxaOrig="240" w:dyaOrig="620" w14:anchorId="79E95F8F">
          <v:shape id="_x0000_i1045" type="#_x0000_t75" style="width:12pt;height:30.6pt" o:ole="">
            <v:imagedata r:id="rId32" o:title=""/>
          </v:shape>
          <o:OLEObject Type="Embed" ProgID="Equation.3" ShapeID="_x0000_i1045" DrawAspect="Content" ObjectID="_1807288784" r:id="rId57"/>
        </w:object>
      </w:r>
      <w:r>
        <w:rPr>
          <w:rFonts w:ascii="Arial" w:hAnsi="Arial" w:cs="Arial"/>
          <w:sz w:val="20"/>
          <w:szCs w:val="20"/>
        </w:rPr>
        <w:t xml:space="preserve">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A160D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1A160D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424EB1">
        <w:rPr>
          <w:rFonts w:ascii="Arial" w:hAnsi="Arial" w:cs="Arial"/>
          <w:position w:val="-24"/>
          <w:sz w:val="20"/>
          <w:szCs w:val="20"/>
        </w:rPr>
        <w:object w:dxaOrig="320" w:dyaOrig="620" w14:anchorId="0903F4AD">
          <v:shape id="_x0000_i1046" type="#_x0000_t75" style="width:15.6pt;height:30.6pt" o:ole="">
            <v:imagedata r:id="rId34" o:title=""/>
          </v:shape>
          <o:OLEObject Type="Embed" ProgID="Equation.3" ShapeID="_x0000_i1046" DrawAspect="Content" ObjectID="_1807288785" r:id="rId58"/>
        </w:object>
      </w:r>
    </w:p>
    <w:p w14:paraId="73FD609F" w14:textId="77777777" w:rsidR="00EB0CCE" w:rsidRPr="00E0669F" w:rsidRDefault="00EB0CCE" w:rsidP="00EB0CC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A7099BD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Considere os eventos: </w:t>
      </w:r>
      <w:r w:rsidRPr="00BC0806">
        <w:rPr>
          <w:rFonts w:ascii="Arial" w:hAnsi="Arial" w:cs="Arial"/>
          <w:position w:val="-30"/>
          <w:sz w:val="20"/>
          <w:szCs w:val="20"/>
        </w:rPr>
        <w:object w:dxaOrig="1680" w:dyaOrig="720" w14:anchorId="77CE50E9">
          <v:shape id="_x0000_i1047" type="#_x0000_t75" style="width:89.4pt;height:38.4pt" o:ole="" o:bordertopcolor="this" o:borderleftcolor="this" o:borderbottomcolor="this" o:borderrightcolor="this" filled="t" fillcolor="#daeef3">
            <v:imagedata r:id="rId5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7" DrawAspect="Content" ObjectID="_1807288786" r:id="rId6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CC6C9BE" w14:textId="77777777" w:rsidR="00EB0CCE" w:rsidRPr="00E0669F" w:rsidRDefault="00EB0CCE" w:rsidP="00EB0CCE">
      <w:pPr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61364EF2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Os eventos são independentes. Como a retirada do rei será somente na segunda, temos:</w:t>
      </w:r>
    </w:p>
    <w:p w14:paraId="7B7F7A58" w14:textId="77777777" w:rsidR="00EB0CCE" w:rsidRPr="00E0669F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4857967" w14:textId="77777777" w:rsidR="00EB0CCE" w:rsidRPr="00C0063F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BC0806">
        <w:rPr>
          <w:rFonts w:ascii="Arial" w:hAnsi="Arial" w:cs="Arial"/>
          <w:position w:val="-24"/>
          <w:sz w:val="20"/>
          <w:szCs w:val="20"/>
        </w:rPr>
        <w:object w:dxaOrig="5040" w:dyaOrig="620" w14:anchorId="4102E019">
          <v:shape id="_x0000_i1048" type="#_x0000_t75" style="width:252pt;height:30.6pt" o:ole="" o:bordertopcolor="this" o:borderleftcolor="this" o:borderbottomcolor="this" o:borderrightcolor="this" filled="t" fillcolor="#daeef3">
            <v:imagedata r:id="rId6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8" DrawAspect="Content" ObjectID="_1807288787" r:id="rId62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6F8F52EF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86D97F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F6B52AB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34F3A98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187B63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E65D2B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350961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5999B7B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0EEBC50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1BB21DA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30E8B67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006B4C6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C51FF46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0BAF71F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FA7402B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E559EA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5B3DE82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06BEE68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7A5C2B4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D2B52B3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0BB276C" w14:textId="77777777" w:rsidR="00EB0CCE" w:rsidRPr="00424EB1" w:rsidRDefault="00EB0CCE" w:rsidP="00EB0CC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CBDD597" w14:textId="77777777" w:rsidR="00EB0CCE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19B7F267" w14:textId="77777777" w:rsidR="00EB0CCE" w:rsidRPr="00A629C5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BAB5E9C" w14:textId="77777777" w:rsidR="00EB0CCE" w:rsidRDefault="00EB0CC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sectPr w:rsidR="00EB0CCE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555B2" w14:textId="77777777" w:rsidR="00B200DA" w:rsidRDefault="00B200DA">
      <w:r>
        <w:separator/>
      </w:r>
    </w:p>
  </w:endnote>
  <w:endnote w:type="continuationSeparator" w:id="0">
    <w:p w14:paraId="2952939B" w14:textId="77777777" w:rsidR="00B200DA" w:rsidRDefault="00B20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A9F47" w14:textId="77777777" w:rsidR="00B200DA" w:rsidRDefault="00B200DA">
      <w:r>
        <w:separator/>
      </w:r>
    </w:p>
  </w:footnote>
  <w:footnote w:type="continuationSeparator" w:id="0">
    <w:p w14:paraId="38C25275" w14:textId="77777777" w:rsidR="00B200DA" w:rsidRDefault="00B20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38F3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274D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00D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1BD2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wmf"/><Relationship Id="rId26" Type="http://schemas.openxmlformats.org/officeDocument/2006/relationships/image" Target="media/image14.png"/><Relationship Id="rId39" Type="http://schemas.openxmlformats.org/officeDocument/2006/relationships/image" Target="media/image22.png"/><Relationship Id="rId21" Type="http://schemas.openxmlformats.org/officeDocument/2006/relationships/oleObject" Target="embeddings/oleObject4.bin"/><Relationship Id="rId34" Type="http://schemas.openxmlformats.org/officeDocument/2006/relationships/image" Target="media/image19.wmf"/><Relationship Id="rId42" Type="http://schemas.openxmlformats.org/officeDocument/2006/relationships/image" Target="media/image24.png"/><Relationship Id="rId47" Type="http://schemas.openxmlformats.org/officeDocument/2006/relationships/image" Target="media/image25.wmf"/><Relationship Id="rId50" Type="http://schemas.openxmlformats.org/officeDocument/2006/relationships/image" Target="media/image27.wmf"/><Relationship Id="rId55" Type="http://schemas.openxmlformats.org/officeDocument/2006/relationships/oleObject" Target="embeddings/oleObject19.bin"/><Relationship Id="rId63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6.bin"/><Relationship Id="rId41" Type="http://schemas.openxmlformats.org/officeDocument/2006/relationships/oleObject" Target="embeddings/oleObject11.bin"/><Relationship Id="rId54" Type="http://schemas.openxmlformats.org/officeDocument/2006/relationships/image" Target="media/image29.png"/><Relationship Id="rId62" Type="http://schemas.openxmlformats.org/officeDocument/2006/relationships/oleObject" Target="embeddings/oleObject2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image" Target="media/image18.wmf"/><Relationship Id="rId37" Type="http://schemas.openxmlformats.org/officeDocument/2006/relationships/oleObject" Target="embeddings/oleObject10.bin"/><Relationship Id="rId40" Type="http://schemas.openxmlformats.org/officeDocument/2006/relationships/image" Target="media/image23.wmf"/><Relationship Id="rId45" Type="http://schemas.openxmlformats.org/officeDocument/2006/relationships/oleObject" Target="embeddings/oleObject14.bin"/><Relationship Id="rId53" Type="http://schemas.openxmlformats.org/officeDocument/2006/relationships/oleObject" Target="embeddings/oleObject18.bin"/><Relationship Id="rId58" Type="http://schemas.openxmlformats.org/officeDocument/2006/relationships/oleObject" Target="embeddings/oleObject22.bin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5.bin"/><Relationship Id="rId28" Type="http://schemas.openxmlformats.org/officeDocument/2006/relationships/image" Target="media/image16.wmf"/><Relationship Id="rId36" Type="http://schemas.openxmlformats.org/officeDocument/2006/relationships/image" Target="media/image20.wmf"/><Relationship Id="rId49" Type="http://schemas.openxmlformats.org/officeDocument/2006/relationships/image" Target="media/image26.png"/><Relationship Id="rId57" Type="http://schemas.openxmlformats.org/officeDocument/2006/relationships/oleObject" Target="embeddings/oleObject21.bin"/><Relationship Id="rId61" Type="http://schemas.openxmlformats.org/officeDocument/2006/relationships/image" Target="media/image31.wmf"/><Relationship Id="rId10" Type="http://schemas.openxmlformats.org/officeDocument/2006/relationships/image" Target="media/image2.png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7.bin"/><Relationship Id="rId44" Type="http://schemas.openxmlformats.org/officeDocument/2006/relationships/oleObject" Target="embeddings/oleObject13.bin"/><Relationship Id="rId52" Type="http://schemas.openxmlformats.org/officeDocument/2006/relationships/image" Target="media/image28.wmf"/><Relationship Id="rId60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image" Target="media/image15.png"/><Relationship Id="rId30" Type="http://schemas.openxmlformats.org/officeDocument/2006/relationships/image" Target="media/image17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2.bin"/><Relationship Id="rId48" Type="http://schemas.openxmlformats.org/officeDocument/2006/relationships/oleObject" Target="embeddings/oleObject16.bin"/><Relationship Id="rId56" Type="http://schemas.openxmlformats.org/officeDocument/2006/relationships/oleObject" Target="embeddings/oleObject20.bin"/><Relationship Id="rId64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7.bin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5" Type="http://schemas.openxmlformats.org/officeDocument/2006/relationships/image" Target="media/image13.png"/><Relationship Id="rId33" Type="http://schemas.openxmlformats.org/officeDocument/2006/relationships/oleObject" Target="embeddings/oleObject8.bin"/><Relationship Id="rId38" Type="http://schemas.openxmlformats.org/officeDocument/2006/relationships/image" Target="media/image21.png"/><Relationship Id="rId46" Type="http://schemas.openxmlformats.org/officeDocument/2006/relationships/oleObject" Target="embeddings/oleObject15.bin"/><Relationship Id="rId59" Type="http://schemas.openxmlformats.org/officeDocument/2006/relationships/image" Target="media/image30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9</Pages>
  <Words>1404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8971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2025-04-27T22:53:00Z</dcterms:created>
  <dcterms:modified xsi:type="dcterms:W3CDTF">2025-04-27T22:53:00Z</dcterms:modified>
</cp:coreProperties>
</file>